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sz w:val="15"/>
          <w:szCs w:val="15"/>
        </w:rPr>
      </w:pPr>
    </w:p>
    <w:p>
      <w:pPr>
        <w:widowControl/>
        <w:jc w:val="left"/>
        <w:rPr>
          <w:rFonts w:ascii="宋体" w:hAnsi="宋体"/>
          <w:sz w:val="15"/>
          <w:szCs w:val="15"/>
        </w:rPr>
      </w:pPr>
    </w:p>
    <w:p>
      <w:pPr>
        <w:widowControl/>
        <w:jc w:val="left"/>
        <w:rPr>
          <w:rFonts w:ascii="宋体" w:hAnsi="宋体"/>
          <w:sz w:val="15"/>
          <w:szCs w:val="15"/>
        </w:rPr>
      </w:pPr>
    </w:p>
    <w:p>
      <w:pPr>
        <w:widowControl/>
        <w:jc w:val="left"/>
        <w:rPr>
          <w:rFonts w:ascii="宋体" w:hAnsi="宋体"/>
          <w:sz w:val="15"/>
          <w:szCs w:val="15"/>
        </w:rPr>
      </w:pPr>
    </w:p>
    <w:p>
      <w:pPr>
        <w:widowControl/>
        <w:jc w:val="left"/>
        <w:rPr>
          <w:rFonts w:ascii="宋体" w:hAnsi="宋体"/>
          <w:sz w:val="15"/>
          <w:szCs w:val="15"/>
        </w:rPr>
      </w:pPr>
    </w:p>
    <w:p>
      <w:pPr>
        <w:widowControl/>
        <w:jc w:val="center"/>
        <w:rPr>
          <w:rFonts w:ascii="宋体" w:hAnsi="宋体"/>
          <w:sz w:val="30"/>
          <w:szCs w:val="30"/>
        </w:rPr>
      </w:pPr>
      <w:r>
        <w:rPr>
          <w:rFonts w:hint="eastAsia" w:ascii="宋体" w:hAnsi="宋体"/>
          <w:sz w:val="30"/>
          <w:szCs w:val="30"/>
        </w:rPr>
        <w:t>LXSY远传直读冷水水表</w:t>
      </w:r>
    </w:p>
    <w:p>
      <w:pPr>
        <w:widowControl/>
        <w:tabs>
          <w:tab w:val="center" w:pos="3005"/>
        </w:tabs>
        <w:jc w:val="left"/>
        <w:rPr>
          <w:rFonts w:ascii="宋体" w:hAnsi="宋体"/>
          <w:sz w:val="30"/>
          <w:szCs w:val="30"/>
        </w:rPr>
      </w:pPr>
      <w:r>
        <w:rPr>
          <w:rFonts w:ascii="宋体" w:hAnsi="宋体"/>
          <w:sz w:val="30"/>
          <w:szCs w:val="30"/>
        </w:rPr>
        <w:tab/>
      </w:r>
      <w:r>
        <w:rPr>
          <w:rFonts w:hint="eastAsia" w:ascii="宋体" w:hAnsi="宋体"/>
          <w:sz w:val="30"/>
          <w:szCs w:val="30"/>
        </w:rPr>
        <w:t>使  用  说  明  书</w:t>
      </w:r>
    </w:p>
    <w:p>
      <w:pPr>
        <w:widowControl/>
        <w:jc w:val="left"/>
        <w:rPr>
          <w:rFonts w:ascii="宋体" w:hAnsi="宋体"/>
          <w:sz w:val="15"/>
          <w:szCs w:val="15"/>
        </w:rPr>
      </w:pPr>
    </w:p>
    <w:p>
      <w:pPr>
        <w:widowControl/>
        <w:jc w:val="left"/>
        <w:rPr>
          <w:rFonts w:ascii="宋体" w:hAnsi="宋体"/>
          <w:sz w:val="15"/>
          <w:szCs w:val="15"/>
        </w:rPr>
      </w:pPr>
    </w:p>
    <w:p>
      <w:pPr>
        <w:widowControl/>
        <w:jc w:val="left"/>
        <w:rPr>
          <w:rFonts w:ascii="宋体" w:hAnsi="宋体"/>
          <w:sz w:val="15"/>
          <w:szCs w:val="15"/>
        </w:rPr>
      </w:pPr>
    </w:p>
    <w:p>
      <w:pPr>
        <w:widowControl/>
        <w:jc w:val="left"/>
        <w:rPr>
          <w:rFonts w:ascii="宋体" w:hAnsi="宋体"/>
          <w:sz w:val="15"/>
          <w:szCs w:val="15"/>
        </w:rPr>
      </w:pPr>
    </w:p>
    <w:p>
      <w:pPr>
        <w:widowControl/>
        <w:jc w:val="left"/>
        <w:rPr>
          <w:rFonts w:ascii="宋体" w:hAnsi="宋体"/>
          <w:sz w:val="15"/>
          <w:szCs w:val="15"/>
        </w:rPr>
      </w:pPr>
    </w:p>
    <w:p>
      <w:pPr>
        <w:widowControl/>
        <w:jc w:val="left"/>
        <w:rPr>
          <w:rFonts w:ascii="宋体" w:hAnsi="宋体"/>
          <w:sz w:val="15"/>
          <w:szCs w:val="15"/>
        </w:rPr>
      </w:pPr>
    </w:p>
    <w:p>
      <w:pPr>
        <w:widowControl/>
        <w:jc w:val="left"/>
        <w:rPr>
          <w:rFonts w:ascii="宋体" w:hAnsi="宋体"/>
          <w:sz w:val="15"/>
          <w:szCs w:val="15"/>
        </w:rPr>
      </w:pPr>
    </w:p>
    <w:p>
      <w:pPr>
        <w:widowControl/>
        <w:jc w:val="left"/>
        <w:rPr>
          <w:rFonts w:ascii="宋体" w:hAnsi="宋体"/>
          <w:sz w:val="15"/>
          <w:szCs w:val="15"/>
        </w:rPr>
      </w:pPr>
    </w:p>
    <w:p>
      <w:pPr>
        <w:widowControl/>
        <w:jc w:val="left"/>
        <w:rPr>
          <w:rFonts w:ascii="宋体" w:hAnsi="宋体"/>
          <w:sz w:val="15"/>
          <w:szCs w:val="15"/>
        </w:rPr>
      </w:pPr>
    </w:p>
    <w:p>
      <w:pPr>
        <w:widowControl/>
        <w:jc w:val="left"/>
        <w:rPr>
          <w:rFonts w:ascii="宋体" w:hAnsi="宋体"/>
          <w:sz w:val="15"/>
          <w:szCs w:val="15"/>
        </w:rPr>
      </w:pPr>
    </w:p>
    <w:p>
      <w:pPr>
        <w:widowControl/>
        <w:jc w:val="left"/>
        <w:rPr>
          <w:rFonts w:ascii="宋体" w:hAnsi="宋体"/>
          <w:sz w:val="15"/>
          <w:szCs w:val="15"/>
        </w:rPr>
      </w:pPr>
    </w:p>
    <w:p>
      <w:pPr>
        <w:widowControl/>
        <w:jc w:val="left"/>
        <w:rPr>
          <w:rFonts w:ascii="宋体" w:hAnsi="宋体"/>
          <w:sz w:val="15"/>
          <w:szCs w:val="15"/>
        </w:rPr>
      </w:pPr>
    </w:p>
    <w:p>
      <w:pPr>
        <w:widowControl/>
        <w:jc w:val="left"/>
        <w:rPr>
          <w:rFonts w:ascii="宋体" w:hAnsi="宋体"/>
          <w:sz w:val="15"/>
          <w:szCs w:val="15"/>
        </w:rPr>
      </w:pPr>
    </w:p>
    <w:p>
      <w:pPr>
        <w:widowControl/>
        <w:jc w:val="left"/>
        <w:rPr>
          <w:rFonts w:ascii="宋体" w:hAnsi="宋体"/>
          <w:sz w:val="15"/>
          <w:szCs w:val="15"/>
        </w:rPr>
      </w:pPr>
    </w:p>
    <w:p>
      <w:pPr>
        <w:widowControl/>
        <w:jc w:val="left"/>
        <w:rPr>
          <w:rFonts w:ascii="宋体" w:hAnsi="宋体"/>
          <w:sz w:val="15"/>
          <w:szCs w:val="15"/>
        </w:rPr>
      </w:pPr>
    </w:p>
    <w:p>
      <w:pPr>
        <w:widowControl/>
        <w:jc w:val="left"/>
        <w:rPr>
          <w:rFonts w:ascii="宋体" w:hAnsi="宋体"/>
          <w:sz w:val="15"/>
          <w:szCs w:val="15"/>
        </w:rPr>
      </w:pPr>
    </w:p>
    <w:p>
      <w:pPr>
        <w:widowControl/>
        <w:jc w:val="left"/>
        <w:rPr>
          <w:rFonts w:ascii="宋体" w:hAnsi="宋体"/>
          <w:sz w:val="15"/>
          <w:szCs w:val="15"/>
        </w:rPr>
      </w:pPr>
    </w:p>
    <w:p>
      <w:pPr>
        <w:widowControl/>
        <w:jc w:val="center"/>
        <w:rPr>
          <w:rFonts w:hint="eastAsia" w:ascii="宋体" w:hAnsi="宋体" w:eastAsia="宋体"/>
          <w:sz w:val="24"/>
          <w:lang w:eastAsia="zh-CN"/>
        </w:rPr>
      </w:pPr>
      <w:r>
        <w:rPr>
          <w:rFonts w:hint="eastAsia" w:ascii="宋体" w:hAnsi="宋体"/>
          <w:sz w:val="24"/>
          <w:lang w:eastAsia="zh-CN"/>
        </w:rPr>
        <w:t>浙江小牛电气科技有限公司</w:t>
      </w:r>
    </w:p>
    <w:p>
      <w:pPr>
        <w:widowControl/>
        <w:jc w:val="left"/>
        <w:rPr>
          <w:rFonts w:ascii="宋体" w:hAnsi="宋体"/>
          <w:sz w:val="15"/>
          <w:szCs w:val="15"/>
        </w:rPr>
      </w:pPr>
    </w:p>
    <w:p>
      <w:pPr>
        <w:widowControl/>
        <w:jc w:val="left"/>
        <w:rPr>
          <w:rFonts w:ascii="新宋体" w:hAnsi="新宋体" w:eastAsia="新宋体"/>
          <w:b/>
          <w:szCs w:val="21"/>
        </w:rPr>
      </w:pPr>
      <w:r>
        <w:rPr>
          <w:rFonts w:ascii="新宋体" w:hAnsi="新宋体" w:eastAsia="新宋体"/>
          <w:b/>
          <w:szCs w:val="21"/>
        </w:rPr>
        <w:br w:type="page"/>
      </w:r>
    </w:p>
    <w:p>
      <w:pPr>
        <w:spacing w:line="276" w:lineRule="auto"/>
        <w:rPr>
          <w:rFonts w:ascii="新宋体" w:hAnsi="新宋体" w:eastAsia="新宋体"/>
          <w:b/>
          <w:szCs w:val="21"/>
        </w:rPr>
      </w:pPr>
      <w:r>
        <w:rPr>
          <w:rFonts w:hint="eastAsia" w:ascii="新宋体" w:hAnsi="新宋体" w:eastAsia="新宋体"/>
          <w:b/>
          <w:szCs w:val="21"/>
        </w:rPr>
        <w:t>产品简介</w:t>
      </w:r>
    </w:p>
    <w:p>
      <w:pPr>
        <w:spacing w:line="276" w:lineRule="auto"/>
        <w:ind w:firstLine="420"/>
        <w:rPr>
          <w:rFonts w:ascii="新宋体" w:hAnsi="新宋体" w:eastAsia="新宋体"/>
          <w:sz w:val="18"/>
          <w:szCs w:val="18"/>
        </w:rPr>
      </w:pPr>
      <w:r>
        <w:rPr>
          <w:rFonts w:hint="eastAsia" w:ascii="新宋体" w:hAnsi="新宋体" w:eastAsia="新宋体"/>
          <w:sz w:val="18"/>
          <w:szCs w:val="18"/>
        </w:rPr>
        <w:t>本企业</w:t>
      </w:r>
      <w:r>
        <w:rPr>
          <w:rFonts w:ascii="新宋体" w:hAnsi="新宋体" w:eastAsia="新宋体"/>
          <w:sz w:val="18"/>
          <w:szCs w:val="18"/>
        </w:rPr>
        <w:t>生产</w:t>
      </w:r>
      <w:r>
        <w:rPr>
          <w:rFonts w:hint="eastAsia" w:ascii="新宋体" w:hAnsi="新宋体" w:eastAsia="新宋体"/>
          <w:sz w:val="18"/>
          <w:szCs w:val="18"/>
        </w:rPr>
        <w:t>制造</w:t>
      </w:r>
      <w:r>
        <w:rPr>
          <w:rFonts w:ascii="新宋体" w:hAnsi="新宋体" w:eastAsia="新宋体"/>
          <w:sz w:val="18"/>
          <w:szCs w:val="18"/>
        </w:rPr>
        <w:t>的</w:t>
      </w:r>
      <w:r>
        <w:rPr>
          <w:rFonts w:hint="eastAsia" w:ascii="新宋体" w:hAnsi="新宋体" w:eastAsia="新宋体"/>
          <w:sz w:val="18"/>
          <w:szCs w:val="18"/>
          <w:lang w:eastAsia="zh-CN"/>
        </w:rPr>
        <w:t>LXSY</w:t>
      </w:r>
      <w:r>
        <w:rPr>
          <w:rFonts w:hint="eastAsia" w:ascii="新宋体" w:hAnsi="新宋体" w:eastAsia="新宋体"/>
          <w:sz w:val="18"/>
          <w:szCs w:val="18"/>
        </w:rPr>
        <w:t>远传直读冷水</w:t>
      </w:r>
      <w:r>
        <w:rPr>
          <w:rFonts w:ascii="新宋体" w:hAnsi="新宋体" w:eastAsia="新宋体"/>
          <w:sz w:val="18"/>
          <w:szCs w:val="18"/>
        </w:rPr>
        <w:t>水表</w:t>
      </w:r>
      <w:r>
        <w:rPr>
          <w:rFonts w:hint="eastAsia" w:ascii="新宋体" w:hAnsi="新宋体" w:eastAsia="新宋体"/>
          <w:sz w:val="18"/>
          <w:szCs w:val="18"/>
        </w:rPr>
        <w:t>，采用特有的光路式</w:t>
      </w:r>
      <w:r>
        <w:rPr>
          <w:rFonts w:hint="eastAsia" w:ascii="新宋体" w:hAnsi="新宋体" w:eastAsia="新宋体"/>
          <w:sz w:val="18"/>
          <w:szCs w:val="18"/>
          <w:lang w:eastAsia="zh-CN"/>
        </w:rPr>
        <w:t>脉冲</w:t>
      </w:r>
      <w:r>
        <w:rPr>
          <w:rFonts w:hint="eastAsia" w:ascii="新宋体" w:hAnsi="新宋体" w:eastAsia="新宋体"/>
          <w:sz w:val="18"/>
          <w:szCs w:val="18"/>
        </w:rPr>
        <w:t>直读技术和多通道</w:t>
      </w:r>
      <w:r>
        <w:rPr>
          <w:rFonts w:ascii="新宋体" w:hAnsi="新宋体" w:eastAsia="新宋体"/>
          <w:sz w:val="18"/>
          <w:szCs w:val="18"/>
        </w:rPr>
        <w:t>NB-I</w:t>
      </w:r>
      <w:r>
        <w:rPr>
          <w:rFonts w:hint="eastAsia" w:ascii="新宋体" w:hAnsi="新宋体" w:eastAsia="新宋体"/>
          <w:sz w:val="18"/>
          <w:szCs w:val="18"/>
        </w:rPr>
        <w:t>oT通讯技术</w:t>
      </w:r>
      <w:r>
        <w:rPr>
          <w:rFonts w:hint="eastAsia" w:ascii="新宋体" w:hAnsi="新宋体" w:eastAsia="新宋体"/>
          <w:sz w:val="18"/>
          <w:szCs w:val="18"/>
          <w:lang w:eastAsia="zh-CN"/>
        </w:rPr>
        <w:t>，</w:t>
      </w:r>
      <w:r>
        <w:rPr>
          <w:rFonts w:hint="eastAsia" w:ascii="新宋体" w:hAnsi="新宋体" w:eastAsia="新宋体"/>
          <w:sz w:val="18"/>
          <w:szCs w:val="18"/>
        </w:rPr>
        <w:t>产品符合并优于国家标准GB/T 778-20</w:t>
      </w:r>
      <w:r>
        <w:rPr>
          <w:rFonts w:ascii="新宋体" w:hAnsi="新宋体" w:eastAsia="新宋体"/>
          <w:sz w:val="18"/>
          <w:szCs w:val="18"/>
        </w:rPr>
        <w:t>18</w:t>
      </w:r>
      <w:r>
        <w:rPr>
          <w:rFonts w:hint="eastAsia" w:ascii="新宋体" w:hAnsi="新宋体" w:eastAsia="新宋体"/>
          <w:sz w:val="18"/>
          <w:szCs w:val="18"/>
        </w:rPr>
        <w:t>《饮用冷水水表和热水水表》和建设部标准CJ/T 224-2012《电子远传水表》标准。</w:t>
      </w:r>
      <w:r>
        <w:rPr>
          <w:rFonts w:ascii="新宋体" w:hAnsi="新宋体" w:eastAsia="新宋体"/>
          <w:sz w:val="18"/>
          <w:szCs w:val="18"/>
        </w:rPr>
        <w:t>主要用于</w:t>
      </w:r>
      <w:r>
        <w:rPr>
          <w:rFonts w:hint="eastAsia" w:ascii="新宋体" w:hAnsi="新宋体" w:eastAsia="新宋体"/>
          <w:sz w:val="18"/>
          <w:szCs w:val="18"/>
        </w:rPr>
        <w:t>企事业</w:t>
      </w:r>
      <w:r>
        <w:rPr>
          <w:rFonts w:ascii="新宋体" w:hAnsi="新宋体" w:eastAsia="新宋体"/>
          <w:sz w:val="18"/>
          <w:szCs w:val="18"/>
        </w:rPr>
        <w:t>单位及</w:t>
      </w:r>
      <w:r>
        <w:rPr>
          <w:rFonts w:hint="eastAsia" w:ascii="新宋体" w:hAnsi="新宋体" w:eastAsia="新宋体"/>
          <w:sz w:val="18"/>
          <w:szCs w:val="18"/>
        </w:rPr>
        <w:t>居民小区用</w:t>
      </w:r>
      <w:r>
        <w:rPr>
          <w:rFonts w:ascii="新宋体" w:hAnsi="新宋体" w:eastAsia="新宋体"/>
          <w:sz w:val="18"/>
          <w:szCs w:val="18"/>
        </w:rPr>
        <w:t>水</w:t>
      </w:r>
      <w:r>
        <w:rPr>
          <w:rFonts w:hint="eastAsia" w:ascii="新宋体" w:hAnsi="新宋体" w:eastAsia="新宋体"/>
          <w:sz w:val="18"/>
          <w:szCs w:val="18"/>
        </w:rPr>
        <w:t>、农村水网改造等</w:t>
      </w:r>
      <w:r>
        <w:rPr>
          <w:rFonts w:ascii="新宋体" w:hAnsi="新宋体" w:eastAsia="新宋体"/>
          <w:sz w:val="18"/>
          <w:szCs w:val="18"/>
        </w:rPr>
        <w:t>计量与</w:t>
      </w:r>
      <w:r>
        <w:rPr>
          <w:rFonts w:hint="eastAsia" w:ascii="新宋体" w:hAnsi="新宋体" w:eastAsia="新宋体"/>
          <w:sz w:val="18"/>
          <w:szCs w:val="18"/>
        </w:rPr>
        <w:t>管理</w:t>
      </w:r>
      <w:r>
        <w:rPr>
          <w:rFonts w:ascii="新宋体" w:hAnsi="新宋体" w:eastAsia="新宋体"/>
          <w:sz w:val="18"/>
          <w:szCs w:val="18"/>
        </w:rPr>
        <w:t>工作，</w:t>
      </w:r>
      <w:r>
        <w:rPr>
          <w:rFonts w:hint="eastAsia" w:ascii="新宋体" w:hAnsi="新宋体" w:eastAsia="新宋体"/>
          <w:sz w:val="18"/>
          <w:szCs w:val="18"/>
        </w:rPr>
        <w:t>并</w:t>
      </w:r>
      <w:r>
        <w:rPr>
          <w:rFonts w:ascii="新宋体" w:hAnsi="新宋体" w:eastAsia="新宋体"/>
          <w:sz w:val="18"/>
          <w:szCs w:val="18"/>
        </w:rPr>
        <w:t>为</w:t>
      </w:r>
      <w:r>
        <w:rPr>
          <w:rFonts w:hint="eastAsia" w:ascii="新宋体" w:hAnsi="新宋体" w:eastAsia="新宋体"/>
          <w:sz w:val="18"/>
          <w:szCs w:val="18"/>
        </w:rPr>
        <w:t>其</w:t>
      </w:r>
      <w:r>
        <w:rPr>
          <w:rFonts w:ascii="新宋体" w:hAnsi="新宋体" w:eastAsia="新宋体"/>
          <w:sz w:val="18"/>
          <w:szCs w:val="18"/>
        </w:rPr>
        <w:t>合理收费提供科学的、定量的依据。</w:t>
      </w:r>
    </w:p>
    <w:p>
      <w:pPr>
        <w:spacing w:line="276" w:lineRule="auto"/>
        <w:ind w:firstLine="420"/>
        <w:rPr>
          <w:rFonts w:ascii="新宋体" w:hAnsi="新宋体" w:eastAsia="新宋体"/>
          <w:sz w:val="18"/>
          <w:szCs w:val="18"/>
        </w:rPr>
      </w:pPr>
    </w:p>
    <w:p>
      <w:pPr>
        <w:spacing w:line="276" w:lineRule="auto"/>
        <w:rPr>
          <w:rFonts w:ascii="新宋体" w:hAnsi="新宋体" w:eastAsia="新宋体"/>
          <w:b/>
          <w:szCs w:val="21"/>
        </w:rPr>
      </w:pPr>
      <w:r>
        <w:rPr>
          <w:rFonts w:hint="eastAsia" w:ascii="新宋体" w:hAnsi="新宋体" w:eastAsia="新宋体"/>
          <w:b/>
          <w:szCs w:val="21"/>
        </w:rPr>
        <w:t>产品特点</w:t>
      </w:r>
    </w:p>
    <w:p>
      <w:pPr>
        <w:pStyle w:val="52"/>
        <w:numPr>
          <w:ilvl w:val="0"/>
          <w:numId w:val="2"/>
        </w:numPr>
        <w:ind w:firstLineChars="0"/>
        <w:rPr>
          <w:rFonts w:ascii="新宋体" w:hAnsi="新宋体" w:eastAsia="新宋体"/>
          <w:sz w:val="18"/>
          <w:szCs w:val="18"/>
          <w:shd w:val="clear" w:color="auto" w:fill="FFFFFF"/>
        </w:rPr>
      </w:pPr>
      <w:r>
        <w:rPr>
          <w:rFonts w:hint="eastAsia" w:ascii="新宋体" w:hAnsi="新宋体" w:eastAsia="新宋体"/>
          <w:sz w:val="18"/>
          <w:szCs w:val="18"/>
          <w:shd w:val="clear" w:color="auto" w:fill="FFFFFF"/>
        </w:rPr>
        <w:t>读数零误差：采用光路式</w:t>
      </w:r>
      <w:r>
        <w:rPr>
          <w:rFonts w:hint="eastAsia" w:ascii="新宋体" w:hAnsi="新宋体" w:eastAsia="新宋体"/>
          <w:sz w:val="18"/>
          <w:szCs w:val="18"/>
          <w:shd w:val="clear" w:color="auto" w:fill="FFFFFF"/>
          <w:lang w:eastAsia="zh-CN"/>
        </w:rPr>
        <w:t>脉冲</w:t>
      </w:r>
      <w:r>
        <w:rPr>
          <w:rFonts w:hint="eastAsia" w:ascii="新宋体" w:hAnsi="新宋体" w:eastAsia="新宋体"/>
          <w:sz w:val="18"/>
          <w:szCs w:val="18"/>
          <w:shd w:val="clear" w:color="auto" w:fill="FFFFFF"/>
        </w:rPr>
        <w:t>直读技术读取字轮数据，确保读数与水表机械字轮示值一致。</w:t>
      </w:r>
    </w:p>
    <w:p>
      <w:pPr>
        <w:pStyle w:val="52"/>
        <w:numPr>
          <w:ilvl w:val="0"/>
          <w:numId w:val="2"/>
        </w:numPr>
        <w:ind w:firstLineChars="0"/>
        <w:rPr>
          <w:rFonts w:ascii="新宋体" w:hAnsi="新宋体" w:eastAsia="新宋体"/>
          <w:sz w:val="18"/>
          <w:szCs w:val="18"/>
          <w:shd w:val="clear" w:color="auto" w:fill="FFFFFF"/>
        </w:rPr>
      </w:pPr>
      <w:r>
        <w:rPr>
          <w:rFonts w:hint="eastAsia" w:ascii="新宋体" w:hAnsi="新宋体" w:eastAsia="新宋体"/>
          <w:sz w:val="18"/>
          <w:szCs w:val="18"/>
          <w:shd w:val="clear" w:color="auto" w:fill="FFFFFF"/>
        </w:rPr>
        <w:t>抗干扰能力强：具有专利技术的抗强光干扰能力，在抄收作业时遇到强光干扰自带屏蔽功能，确保读数准确，可室外阳光照射时抄表。</w:t>
      </w:r>
    </w:p>
    <w:p>
      <w:pPr>
        <w:pStyle w:val="52"/>
        <w:numPr>
          <w:ilvl w:val="0"/>
          <w:numId w:val="2"/>
        </w:numPr>
        <w:ind w:firstLineChars="0"/>
        <w:rPr>
          <w:rFonts w:ascii="新宋体" w:hAnsi="新宋体" w:eastAsia="新宋体"/>
          <w:sz w:val="18"/>
          <w:szCs w:val="18"/>
          <w:shd w:val="clear" w:color="auto" w:fill="FFFFFF"/>
        </w:rPr>
      </w:pPr>
      <w:r>
        <w:rPr>
          <w:rFonts w:hint="eastAsia" w:ascii="新宋体" w:hAnsi="新宋体" w:eastAsia="新宋体"/>
          <w:sz w:val="18"/>
          <w:szCs w:val="18"/>
          <w:shd w:val="clear" w:color="auto" w:fill="FFFFFF"/>
        </w:rPr>
        <w:t>使用寿命长：采用</w:t>
      </w:r>
      <w:r>
        <w:rPr>
          <w:rFonts w:hint="eastAsia" w:ascii="新宋体" w:hAnsi="新宋体" w:eastAsia="新宋体"/>
          <w:sz w:val="18"/>
          <w:szCs w:val="18"/>
          <w:shd w:val="clear" w:color="auto" w:fill="FFFFFF"/>
          <w:lang w:eastAsia="zh-CN"/>
        </w:rPr>
        <w:t>脉冲</w:t>
      </w:r>
      <w:r>
        <w:rPr>
          <w:rFonts w:hint="eastAsia" w:ascii="新宋体" w:hAnsi="新宋体" w:eastAsia="新宋体"/>
          <w:sz w:val="18"/>
          <w:szCs w:val="18"/>
          <w:shd w:val="clear" w:color="auto" w:fill="FFFFFF"/>
        </w:rPr>
        <w:t>直读技术采样，没有机械接触和机械动作，不受外界因素影响出现故障。</w:t>
      </w:r>
    </w:p>
    <w:p>
      <w:pPr>
        <w:pStyle w:val="52"/>
        <w:numPr>
          <w:ilvl w:val="0"/>
          <w:numId w:val="2"/>
        </w:numPr>
        <w:ind w:firstLineChars="0"/>
        <w:rPr>
          <w:rFonts w:ascii="新宋体" w:hAnsi="新宋体" w:eastAsia="新宋体"/>
          <w:sz w:val="18"/>
          <w:szCs w:val="18"/>
          <w:shd w:val="clear" w:color="auto" w:fill="FFFFFF"/>
        </w:rPr>
      </w:pPr>
      <w:r>
        <w:rPr>
          <w:rFonts w:hint="eastAsia" w:ascii="新宋体" w:hAnsi="新宋体" w:eastAsia="新宋体"/>
          <w:sz w:val="18"/>
          <w:szCs w:val="18"/>
          <w:shd w:val="clear" w:color="auto" w:fill="FFFFFF"/>
        </w:rPr>
        <w:t>采用宽电压全网通N</w:t>
      </w:r>
      <w:r>
        <w:rPr>
          <w:rFonts w:ascii="新宋体" w:hAnsi="新宋体" w:eastAsia="新宋体"/>
          <w:sz w:val="18"/>
          <w:szCs w:val="18"/>
          <w:shd w:val="clear" w:color="auto" w:fill="FFFFFF"/>
        </w:rPr>
        <w:t>B</w:t>
      </w:r>
      <w:r>
        <w:rPr>
          <w:rFonts w:hint="eastAsia" w:ascii="新宋体" w:hAnsi="新宋体" w:eastAsia="新宋体"/>
          <w:sz w:val="18"/>
          <w:szCs w:val="18"/>
          <w:shd w:val="clear" w:color="auto" w:fill="FFFFFF"/>
        </w:rPr>
        <w:t>模组，支持移动/电信/联通网络。</w:t>
      </w:r>
    </w:p>
    <w:p>
      <w:pPr>
        <w:pStyle w:val="52"/>
        <w:numPr>
          <w:ilvl w:val="0"/>
          <w:numId w:val="2"/>
        </w:numPr>
        <w:ind w:firstLineChars="0"/>
        <w:rPr>
          <w:rFonts w:ascii="新宋体" w:hAnsi="新宋体" w:eastAsia="新宋体"/>
          <w:sz w:val="18"/>
          <w:szCs w:val="18"/>
          <w:shd w:val="clear" w:color="auto" w:fill="FFFFFF"/>
        </w:rPr>
      </w:pPr>
      <w:r>
        <w:rPr>
          <w:rFonts w:hint="eastAsia" w:ascii="新宋体" w:hAnsi="新宋体" w:eastAsia="新宋体"/>
          <w:sz w:val="18"/>
          <w:szCs w:val="18"/>
          <w:shd w:val="clear" w:color="auto" w:fill="FFFFFF"/>
        </w:rPr>
        <w:t>数据上报时可同时连接多个主站，每个主站可使用不同的通信方式(T</w:t>
      </w:r>
      <w:r>
        <w:rPr>
          <w:rFonts w:ascii="新宋体" w:hAnsi="新宋体" w:eastAsia="新宋体"/>
          <w:sz w:val="18"/>
          <w:szCs w:val="18"/>
          <w:shd w:val="clear" w:color="auto" w:fill="FFFFFF"/>
        </w:rPr>
        <w:t>CP/UDP/</w:t>
      </w:r>
      <w:r>
        <w:rPr>
          <w:rFonts w:hint="eastAsia" w:ascii="新宋体" w:hAnsi="新宋体" w:eastAsia="新宋体"/>
          <w:sz w:val="18"/>
          <w:szCs w:val="18"/>
          <w:shd w:val="clear" w:color="auto" w:fill="FFFFFF"/>
        </w:rPr>
        <w:t>电信云)和不同的通信协议(</w:t>
      </w:r>
      <w:r>
        <w:rPr>
          <w:rFonts w:ascii="新宋体" w:hAnsi="新宋体" w:eastAsia="新宋体"/>
          <w:sz w:val="18"/>
          <w:szCs w:val="18"/>
          <w:shd w:val="clear" w:color="auto" w:fill="FFFFFF"/>
        </w:rPr>
        <w:t>188/376/645/</w:t>
      </w:r>
      <w:r>
        <w:rPr>
          <w:rFonts w:hint="eastAsia" w:ascii="新宋体" w:hAnsi="新宋体" w:eastAsia="新宋体"/>
          <w:sz w:val="18"/>
          <w:szCs w:val="18"/>
          <w:shd w:val="clear" w:color="auto" w:fill="FFFFFF"/>
        </w:rPr>
        <w:t>自定义</w:t>
      </w:r>
      <w:r>
        <w:rPr>
          <w:rFonts w:ascii="新宋体" w:hAnsi="新宋体" w:eastAsia="新宋体"/>
          <w:sz w:val="18"/>
          <w:szCs w:val="18"/>
          <w:shd w:val="clear" w:color="auto" w:fill="FFFFFF"/>
        </w:rPr>
        <w:t>)</w:t>
      </w:r>
      <w:r>
        <w:rPr>
          <w:rFonts w:hint="eastAsia" w:ascii="新宋体" w:hAnsi="新宋体" w:eastAsia="新宋体"/>
          <w:sz w:val="18"/>
          <w:szCs w:val="18"/>
          <w:shd w:val="clear" w:color="auto" w:fill="FFFFFF"/>
        </w:rPr>
        <w:t>。</w:t>
      </w:r>
    </w:p>
    <w:p>
      <w:pPr>
        <w:pStyle w:val="52"/>
        <w:numPr>
          <w:ilvl w:val="0"/>
          <w:numId w:val="2"/>
        </w:numPr>
        <w:ind w:firstLineChars="0"/>
        <w:rPr>
          <w:rFonts w:ascii="新宋体" w:hAnsi="新宋体" w:eastAsia="新宋体"/>
          <w:sz w:val="18"/>
          <w:szCs w:val="18"/>
          <w:shd w:val="clear" w:color="auto" w:fill="FFFFFF"/>
          <w:lang w:val="de-DE"/>
        </w:rPr>
      </w:pPr>
      <w:r>
        <w:rPr>
          <w:rFonts w:hint="eastAsia" w:ascii="新宋体" w:hAnsi="新宋体" w:eastAsia="新宋体"/>
          <w:sz w:val="18"/>
          <w:szCs w:val="18"/>
          <w:shd w:val="clear" w:color="auto" w:fill="FFFFFF"/>
          <w:lang w:val="de-DE"/>
        </w:rPr>
        <w:t>安装方便：直读水表基表部分与普通机械水表安装规格相同，方便施工安装。</w:t>
      </w:r>
      <w:r>
        <w:rPr>
          <w:rFonts w:ascii="新宋体" w:hAnsi="新宋体" w:eastAsia="新宋体"/>
          <w:sz w:val="18"/>
          <w:szCs w:val="18"/>
          <w:shd w:val="clear" w:color="auto" w:fill="FFFFFF"/>
        </w:rPr>
        <w:br w:type="page"/>
      </w:r>
    </w:p>
    <w:p>
      <w:pPr>
        <w:spacing w:line="276" w:lineRule="auto"/>
        <w:rPr>
          <w:rFonts w:ascii="新宋体" w:hAnsi="新宋体" w:eastAsia="新宋体"/>
          <w:b/>
          <w:szCs w:val="21"/>
        </w:rPr>
      </w:pPr>
      <w:r>
        <w:rPr>
          <w:rFonts w:hint="eastAsia" w:ascii="新宋体" w:hAnsi="新宋体" w:eastAsia="新宋体"/>
          <w:b/>
          <w:szCs w:val="21"/>
        </w:rPr>
        <w:t>技术指标</w:t>
      </w:r>
    </w:p>
    <w:tbl>
      <w:tblPr>
        <w:tblStyle w:val="21"/>
        <w:tblpPr w:leftFromText="180" w:rightFromText="180" w:vertAnchor="text" w:tblpXSpec="center" w:tblpY="1"/>
        <w:tblOverlap w:val="never"/>
        <w:tblW w:w="59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6"/>
        <w:gridCol w:w="1193"/>
        <w:gridCol w:w="127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2176" w:type="dxa"/>
            <w:vAlign w:val="center"/>
          </w:tcPr>
          <w:p>
            <w:pPr>
              <w:widowControl/>
              <w:spacing w:line="240" w:lineRule="exact"/>
              <w:jc w:val="center"/>
              <w:rPr>
                <w:rFonts w:ascii="宋体" w:hAnsi="宋体" w:cs="宋体"/>
                <w:b/>
                <w:kern w:val="0"/>
                <w:sz w:val="15"/>
                <w:szCs w:val="15"/>
              </w:rPr>
            </w:pPr>
            <w:r>
              <w:rPr>
                <w:rFonts w:hint="eastAsia" w:ascii="宋体" w:hAnsi="宋体" w:cs="宋体"/>
                <w:b/>
                <w:kern w:val="0"/>
                <w:sz w:val="15"/>
                <w:szCs w:val="15"/>
              </w:rPr>
              <w:t>项目</w:t>
            </w:r>
          </w:p>
        </w:tc>
        <w:tc>
          <w:tcPr>
            <w:tcW w:w="3744" w:type="dxa"/>
            <w:gridSpan w:val="3"/>
            <w:vAlign w:val="center"/>
          </w:tcPr>
          <w:p>
            <w:pPr>
              <w:widowControl/>
              <w:spacing w:line="240" w:lineRule="exact"/>
              <w:jc w:val="center"/>
              <w:rPr>
                <w:rFonts w:ascii="宋体" w:hAnsi="宋体" w:cs="宋体"/>
                <w:kern w:val="0"/>
                <w:sz w:val="15"/>
                <w:szCs w:val="15"/>
              </w:rPr>
            </w:pPr>
            <w:r>
              <w:rPr>
                <w:rFonts w:hint="eastAsia" w:ascii="宋体" w:hAnsi="宋体" w:cs="宋体"/>
                <w:b/>
                <w:bCs/>
                <w:kern w:val="0"/>
                <w:sz w:val="15"/>
                <w:szCs w:val="15"/>
              </w:rPr>
              <w:t>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2176" w:type="dxa"/>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公称口径（</w:t>
            </w:r>
            <w:r>
              <w:rPr>
                <w:kern w:val="0"/>
                <w:sz w:val="15"/>
                <w:szCs w:val="15"/>
              </w:rPr>
              <w:t>mm</w:t>
            </w:r>
            <w:r>
              <w:rPr>
                <w:rFonts w:hint="eastAsia" w:ascii="宋体" w:hAnsi="宋体" w:cs="宋体"/>
                <w:kern w:val="0"/>
                <w:sz w:val="15"/>
                <w:szCs w:val="15"/>
              </w:rPr>
              <w:t>）</w:t>
            </w:r>
          </w:p>
        </w:tc>
        <w:tc>
          <w:tcPr>
            <w:tcW w:w="1193" w:type="dxa"/>
            <w:tcBorders>
              <w:right w:val="single" w:color="auto" w:sz="4" w:space="0"/>
            </w:tcBorders>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15</w:t>
            </w:r>
          </w:p>
        </w:tc>
        <w:tc>
          <w:tcPr>
            <w:tcW w:w="1275" w:type="dxa"/>
            <w:tcBorders>
              <w:left w:val="single" w:color="auto" w:sz="4" w:space="0"/>
              <w:right w:val="single" w:color="auto" w:sz="4" w:space="0"/>
            </w:tcBorders>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20</w:t>
            </w:r>
          </w:p>
        </w:tc>
        <w:tc>
          <w:tcPr>
            <w:tcW w:w="1276" w:type="dxa"/>
            <w:tcBorders>
              <w:left w:val="single" w:color="auto" w:sz="4" w:space="0"/>
            </w:tcBorders>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2176" w:type="dxa"/>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长度（</w:t>
            </w:r>
            <w:r>
              <w:rPr>
                <w:kern w:val="0"/>
                <w:sz w:val="15"/>
                <w:szCs w:val="15"/>
              </w:rPr>
              <w:t>mm</w:t>
            </w:r>
            <w:r>
              <w:rPr>
                <w:rFonts w:hint="eastAsia" w:ascii="宋体" w:hAnsi="宋体" w:cs="宋体"/>
                <w:kern w:val="0"/>
                <w:sz w:val="15"/>
                <w:szCs w:val="15"/>
              </w:rPr>
              <w:t>）</w:t>
            </w:r>
          </w:p>
        </w:tc>
        <w:tc>
          <w:tcPr>
            <w:tcW w:w="1193" w:type="dxa"/>
            <w:tcBorders>
              <w:right w:val="single" w:color="auto" w:sz="4" w:space="0"/>
            </w:tcBorders>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165</w:t>
            </w:r>
          </w:p>
        </w:tc>
        <w:tc>
          <w:tcPr>
            <w:tcW w:w="1275" w:type="dxa"/>
            <w:tcBorders>
              <w:left w:val="single" w:color="auto" w:sz="4" w:space="0"/>
              <w:right w:val="single" w:color="auto" w:sz="4" w:space="0"/>
            </w:tcBorders>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195</w:t>
            </w:r>
          </w:p>
        </w:tc>
        <w:tc>
          <w:tcPr>
            <w:tcW w:w="1276" w:type="dxa"/>
            <w:tcBorders>
              <w:left w:val="single" w:color="auto" w:sz="4" w:space="0"/>
            </w:tcBorders>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2176" w:type="dxa"/>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常用流量</w:t>
            </w:r>
            <w:r>
              <w:rPr>
                <w:rFonts w:hint="eastAsia" w:ascii="宋体" w:hAnsi="宋体" w:cs="宋体"/>
                <w:i/>
                <w:kern w:val="0"/>
                <w:sz w:val="15"/>
                <w:szCs w:val="15"/>
              </w:rPr>
              <w:t xml:space="preserve"> Q</w:t>
            </w:r>
            <w:r>
              <w:rPr>
                <w:rFonts w:hint="eastAsia" w:ascii="宋体" w:hAnsi="宋体" w:cs="宋体"/>
                <w:kern w:val="0"/>
                <w:sz w:val="15"/>
                <w:szCs w:val="15"/>
                <w:vertAlign w:val="subscript"/>
              </w:rPr>
              <w:t>3</w:t>
            </w:r>
            <w:r>
              <w:rPr>
                <w:rFonts w:hint="eastAsia" w:ascii="宋体" w:hAnsi="宋体" w:cs="宋体"/>
                <w:kern w:val="0"/>
                <w:sz w:val="15"/>
                <w:szCs w:val="15"/>
              </w:rPr>
              <w:t>（m</w:t>
            </w:r>
            <w:r>
              <w:rPr>
                <w:rFonts w:hint="eastAsia" w:ascii="宋体" w:hAnsi="宋体" w:cs="宋体"/>
                <w:kern w:val="0"/>
                <w:sz w:val="15"/>
                <w:szCs w:val="15"/>
                <w:vertAlign w:val="superscript"/>
              </w:rPr>
              <w:t>3</w:t>
            </w:r>
            <w:r>
              <w:rPr>
                <w:rFonts w:hint="eastAsia" w:ascii="宋体" w:hAnsi="宋体" w:cs="宋体"/>
                <w:kern w:val="0"/>
                <w:sz w:val="15"/>
                <w:szCs w:val="15"/>
              </w:rPr>
              <w:t>/h）</w:t>
            </w:r>
          </w:p>
        </w:tc>
        <w:tc>
          <w:tcPr>
            <w:tcW w:w="1193" w:type="dxa"/>
            <w:tcBorders>
              <w:right w:val="single" w:color="auto" w:sz="4" w:space="0"/>
            </w:tcBorders>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2.5</w:t>
            </w:r>
          </w:p>
        </w:tc>
        <w:tc>
          <w:tcPr>
            <w:tcW w:w="1275" w:type="dxa"/>
            <w:tcBorders>
              <w:left w:val="single" w:color="auto" w:sz="4" w:space="0"/>
              <w:right w:val="single" w:color="auto" w:sz="4" w:space="0"/>
            </w:tcBorders>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4.0</w:t>
            </w:r>
          </w:p>
        </w:tc>
        <w:tc>
          <w:tcPr>
            <w:tcW w:w="1276" w:type="dxa"/>
            <w:tcBorders>
              <w:left w:val="single" w:color="auto" w:sz="4" w:space="0"/>
            </w:tcBorders>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4.0/6.3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2176" w:type="dxa"/>
            <w:vAlign w:val="center"/>
          </w:tcPr>
          <w:p>
            <w:pPr>
              <w:widowControl/>
              <w:spacing w:line="280" w:lineRule="exact"/>
              <w:jc w:val="center"/>
              <w:rPr>
                <w:rFonts w:ascii="宋体" w:hAnsi="宋体" w:cs="宋体"/>
                <w:kern w:val="0"/>
                <w:sz w:val="15"/>
                <w:szCs w:val="15"/>
                <w:vertAlign w:val="subscript"/>
              </w:rPr>
            </w:pPr>
            <w:r>
              <w:rPr>
                <w:rFonts w:hint="eastAsia" w:ascii="宋体" w:hAnsi="宋体" w:cs="宋体"/>
                <w:kern w:val="0"/>
                <w:sz w:val="15"/>
                <w:szCs w:val="15"/>
              </w:rPr>
              <w:t>量程比</w:t>
            </w:r>
            <w:r>
              <w:rPr>
                <w:rFonts w:hint="eastAsia" w:ascii="宋体" w:hAnsi="宋体" w:cs="宋体"/>
                <w:i/>
                <w:kern w:val="0"/>
                <w:sz w:val="15"/>
                <w:szCs w:val="15"/>
              </w:rPr>
              <w:t>Q</w:t>
            </w:r>
            <w:r>
              <w:rPr>
                <w:rFonts w:hint="eastAsia" w:ascii="宋体" w:hAnsi="宋体" w:cs="宋体"/>
                <w:kern w:val="0"/>
                <w:sz w:val="15"/>
                <w:szCs w:val="15"/>
                <w:vertAlign w:val="subscript"/>
              </w:rPr>
              <w:t>3</w:t>
            </w:r>
            <w:r>
              <w:rPr>
                <w:rFonts w:hint="eastAsia" w:ascii="宋体" w:hAnsi="宋体" w:cs="宋体"/>
                <w:kern w:val="0"/>
                <w:sz w:val="15"/>
                <w:szCs w:val="15"/>
              </w:rPr>
              <w:t xml:space="preserve">/ </w:t>
            </w:r>
            <w:r>
              <w:rPr>
                <w:rFonts w:hint="eastAsia" w:ascii="宋体" w:hAnsi="宋体" w:cs="宋体"/>
                <w:i/>
                <w:kern w:val="0"/>
                <w:sz w:val="15"/>
                <w:szCs w:val="15"/>
              </w:rPr>
              <w:t>Q</w:t>
            </w:r>
            <w:r>
              <w:rPr>
                <w:rFonts w:hint="eastAsia" w:ascii="宋体" w:hAnsi="宋体" w:cs="宋体"/>
                <w:kern w:val="0"/>
                <w:sz w:val="15"/>
                <w:szCs w:val="15"/>
                <w:vertAlign w:val="subscript"/>
              </w:rPr>
              <w:t>1</w:t>
            </w:r>
          </w:p>
        </w:tc>
        <w:tc>
          <w:tcPr>
            <w:tcW w:w="3744" w:type="dxa"/>
            <w:gridSpan w:val="3"/>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2176" w:type="dxa"/>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准确度等级</w:t>
            </w:r>
          </w:p>
        </w:tc>
        <w:tc>
          <w:tcPr>
            <w:tcW w:w="3744" w:type="dxa"/>
            <w:gridSpan w:val="3"/>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2级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2176" w:type="dxa"/>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显示范围</w:t>
            </w:r>
          </w:p>
        </w:tc>
        <w:tc>
          <w:tcPr>
            <w:tcW w:w="3744" w:type="dxa"/>
            <w:gridSpan w:val="3"/>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0.0000</w:t>
            </w:r>
            <w:r>
              <w:rPr>
                <w:rFonts w:hint="eastAsia" w:ascii="宋体" w:hAnsi="宋体"/>
                <w:sz w:val="15"/>
                <w:szCs w:val="15"/>
              </w:rPr>
              <w:t>～</w:t>
            </w:r>
            <w:r>
              <w:rPr>
                <w:rFonts w:hint="eastAsia" w:ascii="宋体" w:hAnsi="宋体" w:cs="宋体"/>
                <w:kern w:val="0"/>
                <w:sz w:val="15"/>
                <w:szCs w:val="15"/>
              </w:rPr>
              <w:t>9999.9999 m</w:t>
            </w:r>
            <w:r>
              <w:rPr>
                <w:rFonts w:hint="eastAsia" w:ascii="宋体" w:hAnsi="宋体" w:cs="宋体"/>
                <w:kern w:val="0"/>
                <w:sz w:val="15"/>
                <w:szCs w:val="15"/>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2176" w:type="dxa"/>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流速剖面场等级</w:t>
            </w:r>
          </w:p>
        </w:tc>
        <w:tc>
          <w:tcPr>
            <w:tcW w:w="3744" w:type="dxa"/>
            <w:gridSpan w:val="3"/>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U10/D5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2176" w:type="dxa"/>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压力等级</w:t>
            </w:r>
          </w:p>
        </w:tc>
        <w:tc>
          <w:tcPr>
            <w:tcW w:w="3744" w:type="dxa"/>
            <w:gridSpan w:val="3"/>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MAP10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2176" w:type="dxa"/>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温度等级</w:t>
            </w:r>
          </w:p>
        </w:tc>
        <w:tc>
          <w:tcPr>
            <w:tcW w:w="3744" w:type="dxa"/>
            <w:gridSpan w:val="3"/>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2176" w:type="dxa"/>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压力损失等级</w:t>
            </w:r>
          </w:p>
        </w:tc>
        <w:tc>
          <w:tcPr>
            <w:tcW w:w="3744" w:type="dxa"/>
            <w:gridSpan w:val="3"/>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Δp63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trPr>
        <w:tc>
          <w:tcPr>
            <w:tcW w:w="2176" w:type="dxa"/>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气候及电磁环境等级</w:t>
            </w:r>
          </w:p>
        </w:tc>
        <w:tc>
          <w:tcPr>
            <w:tcW w:w="3744" w:type="dxa"/>
            <w:gridSpan w:val="3"/>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E1，B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2176" w:type="dxa"/>
            <w:vAlign w:val="center"/>
          </w:tcPr>
          <w:p>
            <w:pPr>
              <w:widowControl/>
              <w:spacing w:line="280" w:lineRule="exact"/>
              <w:jc w:val="center"/>
              <w:rPr>
                <w:rFonts w:ascii="宋体" w:hAnsi="宋体" w:cs="宋体"/>
                <w:kern w:val="0"/>
                <w:sz w:val="15"/>
                <w:szCs w:val="15"/>
              </w:rPr>
            </w:pPr>
            <w:r>
              <w:rPr>
                <w:rFonts w:hint="eastAsia" w:ascii="宋体" w:hAnsi="宋体"/>
                <w:sz w:val="15"/>
                <w:szCs w:val="15"/>
              </w:rPr>
              <w:t>工作环境</w:t>
            </w:r>
          </w:p>
        </w:tc>
        <w:tc>
          <w:tcPr>
            <w:tcW w:w="3744" w:type="dxa"/>
            <w:gridSpan w:val="3"/>
            <w:vAlign w:val="center"/>
          </w:tcPr>
          <w:p>
            <w:pPr>
              <w:widowControl/>
              <w:spacing w:line="200" w:lineRule="exact"/>
              <w:jc w:val="center"/>
              <w:rPr>
                <w:rFonts w:ascii="宋体" w:hAnsi="宋体"/>
                <w:sz w:val="15"/>
                <w:szCs w:val="15"/>
              </w:rPr>
            </w:pPr>
            <w:r>
              <w:rPr>
                <w:rFonts w:hint="eastAsia" w:ascii="宋体" w:hAnsi="宋体"/>
                <w:sz w:val="15"/>
                <w:szCs w:val="15"/>
              </w:rPr>
              <w:t>环境温度：5℃～55℃；</w:t>
            </w:r>
          </w:p>
          <w:p>
            <w:pPr>
              <w:widowControl/>
              <w:spacing w:line="200" w:lineRule="exact"/>
              <w:jc w:val="center"/>
              <w:rPr>
                <w:rFonts w:ascii="宋体" w:hAnsi="宋体" w:cs="宋体"/>
                <w:kern w:val="0"/>
                <w:sz w:val="15"/>
                <w:szCs w:val="15"/>
              </w:rPr>
            </w:pPr>
            <w:r>
              <w:rPr>
                <w:rFonts w:hint="eastAsia" w:ascii="宋体" w:hAnsi="宋体"/>
                <w:sz w:val="15"/>
                <w:szCs w:val="15"/>
              </w:rPr>
              <w:t>湿度：≤ 93% R.H.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2176" w:type="dxa"/>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安装方式</w:t>
            </w:r>
          </w:p>
        </w:tc>
        <w:tc>
          <w:tcPr>
            <w:tcW w:w="3744" w:type="dxa"/>
            <w:gridSpan w:val="3"/>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2176" w:type="dxa"/>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供电电压</w:t>
            </w:r>
          </w:p>
        </w:tc>
        <w:tc>
          <w:tcPr>
            <w:tcW w:w="3744" w:type="dxa"/>
            <w:gridSpan w:val="3"/>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2.</w:t>
            </w:r>
            <w:r>
              <w:rPr>
                <w:rFonts w:ascii="宋体" w:hAnsi="宋体" w:cs="宋体"/>
                <w:kern w:val="0"/>
                <w:sz w:val="15"/>
                <w:szCs w:val="15"/>
              </w:rPr>
              <w:t>0</w:t>
            </w:r>
            <w:r>
              <w:rPr>
                <w:rFonts w:hint="eastAsia" w:ascii="宋体" w:hAnsi="宋体" w:cs="宋体"/>
                <w:kern w:val="0"/>
                <w:sz w:val="15"/>
                <w:szCs w:val="15"/>
              </w:rPr>
              <w:t>-3.6</w:t>
            </w:r>
            <w:r>
              <w:rPr>
                <w:rFonts w:ascii="宋体" w:hAnsi="宋体" w:cs="宋体"/>
                <w:kern w:val="0"/>
                <w:sz w:val="15"/>
                <w:szCs w:val="15"/>
              </w:rPr>
              <w: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2176" w:type="dxa"/>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静态电流</w:t>
            </w:r>
          </w:p>
        </w:tc>
        <w:tc>
          <w:tcPr>
            <w:tcW w:w="3744" w:type="dxa"/>
            <w:gridSpan w:val="3"/>
            <w:vAlign w:val="center"/>
          </w:tcPr>
          <w:p>
            <w:pPr>
              <w:widowControl/>
              <w:spacing w:line="280" w:lineRule="exact"/>
              <w:jc w:val="center"/>
              <w:rPr>
                <w:rFonts w:ascii="宋体" w:hAnsi="宋体" w:cs="宋体"/>
                <w:kern w:val="0"/>
                <w:sz w:val="15"/>
                <w:szCs w:val="15"/>
              </w:rPr>
            </w:pPr>
            <w:r>
              <w:rPr>
                <w:rFonts w:hint="eastAsia" w:ascii="宋体" w:hAnsi="宋体" w:cs="宋体"/>
                <w:kern w:val="0"/>
                <w:sz w:val="15"/>
                <w:szCs w:val="15"/>
              </w:rPr>
              <w:t>&lt;</w:t>
            </w:r>
            <w:r>
              <w:rPr>
                <w:rFonts w:hint="eastAsia" w:ascii="宋体" w:hAnsi="宋体" w:cs="宋体"/>
                <w:kern w:val="0"/>
                <w:sz w:val="15"/>
                <w:szCs w:val="15"/>
                <w:lang w:val="en-US" w:eastAsia="zh-CN"/>
              </w:rPr>
              <w:t>3.5</w:t>
            </w:r>
            <w:r>
              <w:rPr>
                <w:rFonts w:hint="eastAsia" w:ascii="宋体" w:hAnsi="宋体" w:cs="宋体"/>
                <w:kern w:val="0"/>
                <w:sz w:val="15"/>
                <w:szCs w:val="15"/>
              </w:rPr>
              <w:t>u</w:t>
            </w:r>
            <w:r>
              <w:rPr>
                <w:rFonts w:ascii="宋体" w:hAnsi="宋体" w:cs="宋体"/>
                <w:kern w:val="0"/>
                <w:sz w:val="15"/>
                <w:szCs w:val="15"/>
              </w:rPr>
              <w:t>A</w:t>
            </w:r>
          </w:p>
        </w:tc>
      </w:tr>
    </w:tbl>
    <w:p>
      <w:pPr>
        <w:spacing w:line="276" w:lineRule="auto"/>
        <w:rPr>
          <w:rFonts w:ascii="新宋体" w:hAnsi="新宋体" w:eastAsia="新宋体"/>
          <w:b/>
          <w:szCs w:val="21"/>
        </w:rPr>
      </w:pPr>
    </w:p>
    <w:p>
      <w:pPr>
        <w:spacing w:line="276" w:lineRule="auto"/>
        <w:rPr>
          <w:rFonts w:ascii="新宋体" w:hAnsi="新宋体" w:eastAsia="新宋体"/>
          <w:b/>
          <w:szCs w:val="21"/>
        </w:rPr>
      </w:pPr>
    </w:p>
    <w:p>
      <w:pPr>
        <w:spacing w:line="276" w:lineRule="auto"/>
        <w:rPr>
          <w:rFonts w:ascii="新宋体" w:hAnsi="新宋体" w:eastAsia="新宋体"/>
          <w:b/>
          <w:szCs w:val="21"/>
        </w:rPr>
      </w:pPr>
    </w:p>
    <w:p>
      <w:pPr>
        <w:spacing w:line="276" w:lineRule="auto"/>
        <w:rPr>
          <w:rFonts w:ascii="新宋体" w:hAnsi="新宋体" w:eastAsia="新宋体"/>
          <w:b/>
          <w:szCs w:val="21"/>
        </w:rPr>
      </w:pPr>
    </w:p>
    <w:p>
      <w:pPr>
        <w:spacing w:line="276" w:lineRule="auto"/>
        <w:rPr>
          <w:rFonts w:ascii="新宋体" w:hAnsi="新宋体" w:eastAsia="新宋体"/>
          <w:b/>
          <w:szCs w:val="21"/>
        </w:rPr>
      </w:pPr>
    </w:p>
    <w:p>
      <w:pPr>
        <w:spacing w:line="276" w:lineRule="auto"/>
        <w:rPr>
          <w:rFonts w:ascii="新宋体" w:hAnsi="新宋体" w:eastAsia="新宋体"/>
          <w:b/>
          <w:szCs w:val="21"/>
        </w:rPr>
      </w:pPr>
    </w:p>
    <w:p>
      <w:pPr>
        <w:spacing w:line="276" w:lineRule="auto"/>
        <w:rPr>
          <w:rFonts w:ascii="新宋体" w:hAnsi="新宋体" w:eastAsia="新宋体"/>
          <w:b/>
          <w:szCs w:val="21"/>
        </w:rPr>
      </w:pPr>
    </w:p>
    <w:p>
      <w:pPr>
        <w:spacing w:line="276" w:lineRule="auto"/>
        <w:rPr>
          <w:rFonts w:ascii="新宋体" w:hAnsi="新宋体" w:eastAsia="新宋体"/>
          <w:b/>
          <w:szCs w:val="21"/>
        </w:rPr>
      </w:pPr>
    </w:p>
    <w:p>
      <w:pPr>
        <w:spacing w:line="276" w:lineRule="auto"/>
        <w:rPr>
          <w:rFonts w:ascii="新宋体" w:hAnsi="新宋体" w:eastAsia="新宋体"/>
          <w:b/>
          <w:szCs w:val="21"/>
        </w:rPr>
      </w:pPr>
    </w:p>
    <w:p>
      <w:pPr>
        <w:spacing w:line="276" w:lineRule="auto"/>
        <w:rPr>
          <w:rFonts w:ascii="新宋体" w:hAnsi="新宋体" w:eastAsia="新宋体"/>
          <w:b/>
          <w:szCs w:val="21"/>
        </w:rPr>
      </w:pPr>
      <w:r>
        <w:rPr>
          <w:rFonts w:hint="eastAsia" w:ascii="新宋体" w:hAnsi="新宋体" w:eastAsia="新宋体"/>
          <w:b/>
          <w:szCs w:val="21"/>
        </w:rPr>
        <w:t>安装尺寸</w:t>
      </w:r>
      <w:r>
        <w:rPr>
          <w:rFonts w:ascii="新宋体" w:hAnsi="新宋体" w:eastAsia="新宋体"/>
          <w:b/>
          <w:szCs w:val="21"/>
        </w:rPr>
        <w:t xml:space="preserve"> </w:t>
      </w:r>
    </w:p>
    <w:p>
      <w:pPr>
        <w:spacing w:line="276" w:lineRule="auto"/>
        <w:rPr>
          <w:rFonts w:ascii="新宋体" w:hAnsi="新宋体" w:eastAsia="新宋体"/>
          <w:b/>
          <w:szCs w:val="21"/>
        </w:rPr>
      </w:pPr>
      <w:r>
        <w:rPr>
          <w:rFonts w:ascii="新宋体" w:hAnsi="新宋体" w:eastAsia="新宋体"/>
          <w:b/>
          <w:szCs w:val="21"/>
        </w:rPr>
        <w:drawing>
          <wp:inline distT="0" distB="0" distL="0" distR="0">
            <wp:extent cx="3811905" cy="21793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11905" cy="2179320"/>
                    </a:xfrm>
                    <a:prstGeom prst="rect">
                      <a:avLst/>
                    </a:prstGeom>
                    <a:noFill/>
                    <a:ln>
                      <a:noFill/>
                    </a:ln>
                  </pic:spPr>
                </pic:pic>
              </a:graphicData>
            </a:graphic>
          </wp:inline>
        </w:drawing>
      </w:r>
    </w:p>
    <w:tbl>
      <w:tblPr>
        <w:tblStyle w:val="21"/>
        <w:tblW w:w="5354" w:type="dxa"/>
        <w:jc w:val="center"/>
        <w:tblLayout w:type="autofit"/>
        <w:tblCellMar>
          <w:top w:w="0" w:type="dxa"/>
          <w:left w:w="108" w:type="dxa"/>
          <w:bottom w:w="0" w:type="dxa"/>
          <w:right w:w="108" w:type="dxa"/>
        </w:tblCellMar>
      </w:tblPr>
      <w:tblGrid>
        <w:gridCol w:w="1006"/>
        <w:gridCol w:w="1058"/>
        <w:gridCol w:w="666"/>
        <w:gridCol w:w="686"/>
        <w:gridCol w:w="851"/>
        <w:gridCol w:w="1087"/>
      </w:tblGrid>
      <w:tr>
        <w:tblPrEx>
          <w:tblCellMar>
            <w:top w:w="0" w:type="dxa"/>
            <w:left w:w="108" w:type="dxa"/>
            <w:bottom w:w="0" w:type="dxa"/>
            <w:right w:w="108" w:type="dxa"/>
          </w:tblCellMar>
        </w:tblPrEx>
        <w:trPr>
          <w:trHeight w:val="270" w:hRule="atLeast"/>
          <w:jc w:val="center"/>
        </w:trPr>
        <w:tc>
          <w:tcPr>
            <w:tcW w:w="10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de-DE"/>
              </w:rPr>
              <w:t>型号</w:t>
            </w:r>
          </w:p>
        </w:tc>
        <w:tc>
          <w:tcPr>
            <w:tcW w:w="10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de-DE"/>
              </w:rPr>
              <w:t>公称口径DN(mm)</w:t>
            </w:r>
          </w:p>
        </w:tc>
        <w:tc>
          <w:tcPr>
            <w:tcW w:w="6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lang w:val="de-DE"/>
              </w:rPr>
            </w:pPr>
            <w:r>
              <w:rPr>
                <w:rFonts w:hint="eastAsia" w:ascii="宋体" w:hAnsi="宋体" w:cs="宋体"/>
                <w:color w:val="000000"/>
                <w:kern w:val="0"/>
                <w:sz w:val="18"/>
                <w:szCs w:val="18"/>
                <w:lang w:val="de-DE"/>
              </w:rPr>
              <w:t>长度</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de-DE"/>
              </w:rPr>
              <w:t>L(mm)</w:t>
            </w:r>
          </w:p>
        </w:tc>
        <w:tc>
          <w:tcPr>
            <w:tcW w:w="6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lang w:val="de-DE"/>
              </w:rPr>
            </w:pPr>
            <w:r>
              <w:rPr>
                <w:rFonts w:hint="eastAsia" w:ascii="宋体" w:hAnsi="宋体" w:cs="宋体"/>
                <w:color w:val="000000"/>
                <w:kern w:val="0"/>
                <w:sz w:val="18"/>
                <w:szCs w:val="18"/>
                <w:lang w:val="de-DE"/>
              </w:rPr>
              <w:t>宽度</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de-DE"/>
              </w:rPr>
              <w:t>W(mm)</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lang w:val="de-DE"/>
              </w:rPr>
            </w:pPr>
            <w:r>
              <w:rPr>
                <w:rFonts w:hint="eastAsia" w:ascii="宋体" w:hAnsi="宋体" w:cs="宋体"/>
                <w:color w:val="000000"/>
                <w:kern w:val="0"/>
                <w:sz w:val="18"/>
                <w:szCs w:val="18"/>
                <w:lang w:val="de-DE"/>
              </w:rPr>
              <w:t>高度</w:t>
            </w:r>
          </w:p>
          <w:p>
            <w:pPr>
              <w:widowControl/>
              <w:jc w:val="center"/>
              <w:rPr>
                <w:rFonts w:ascii="宋体" w:hAnsi="宋体" w:cs="宋体"/>
                <w:color w:val="000000"/>
                <w:kern w:val="0"/>
                <w:sz w:val="18"/>
                <w:szCs w:val="18"/>
                <w:lang w:val="de-DE"/>
              </w:rPr>
            </w:pPr>
            <w:r>
              <w:rPr>
                <w:rFonts w:hint="eastAsia" w:ascii="宋体" w:hAnsi="宋体" w:cs="宋体"/>
                <w:color w:val="000000"/>
                <w:kern w:val="0"/>
                <w:sz w:val="18"/>
                <w:szCs w:val="18"/>
                <w:lang w:val="de-DE"/>
              </w:rPr>
              <w:t>H(mm)</w:t>
            </w:r>
          </w:p>
        </w:tc>
        <w:tc>
          <w:tcPr>
            <w:tcW w:w="10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lang w:val="de-DE"/>
              </w:rPr>
            </w:pPr>
            <w:r>
              <w:rPr>
                <w:rFonts w:hint="eastAsia" w:ascii="宋体" w:hAnsi="宋体" w:cs="宋体"/>
                <w:color w:val="000000"/>
                <w:kern w:val="0"/>
                <w:sz w:val="18"/>
                <w:szCs w:val="18"/>
                <w:lang w:val="de-DE"/>
              </w:rPr>
              <w:t>螺纹</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de-DE"/>
              </w:rPr>
              <w:t>D</w:t>
            </w:r>
          </w:p>
        </w:tc>
      </w:tr>
      <w:tr>
        <w:tblPrEx>
          <w:tblCellMar>
            <w:top w:w="0" w:type="dxa"/>
            <w:left w:w="108" w:type="dxa"/>
            <w:bottom w:w="0" w:type="dxa"/>
            <w:right w:w="108" w:type="dxa"/>
          </w:tblCellMar>
        </w:tblPrEx>
        <w:trPr>
          <w:trHeight w:val="270" w:hRule="atLeast"/>
          <w:jc w:val="center"/>
        </w:trPr>
        <w:tc>
          <w:tcPr>
            <w:tcW w:w="10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de-DE" w:eastAsia="zh-CN"/>
              </w:rPr>
              <w:t>LXSY</w:t>
            </w:r>
            <w:r>
              <w:rPr>
                <w:rFonts w:hint="eastAsia" w:ascii="宋体" w:hAnsi="宋体" w:cs="宋体"/>
                <w:color w:val="000000"/>
                <w:kern w:val="0"/>
                <w:sz w:val="18"/>
                <w:szCs w:val="18"/>
                <w:lang w:val="de-DE"/>
              </w:rPr>
              <w:t>-15</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de-DE"/>
              </w:rPr>
              <w:t>15</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164</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134</w:t>
            </w:r>
          </w:p>
        </w:tc>
        <w:tc>
          <w:tcPr>
            <w:tcW w:w="10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de-DE"/>
              </w:rPr>
              <w:t>G3/4 B</w:t>
            </w:r>
          </w:p>
        </w:tc>
      </w:tr>
      <w:tr>
        <w:tblPrEx>
          <w:tblCellMar>
            <w:top w:w="0" w:type="dxa"/>
            <w:left w:w="108" w:type="dxa"/>
            <w:bottom w:w="0" w:type="dxa"/>
            <w:right w:w="108" w:type="dxa"/>
          </w:tblCellMar>
        </w:tblPrEx>
        <w:trPr>
          <w:trHeight w:val="270" w:hRule="atLeast"/>
          <w:jc w:val="center"/>
        </w:trPr>
        <w:tc>
          <w:tcPr>
            <w:tcW w:w="10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de-DE" w:eastAsia="zh-CN"/>
              </w:rPr>
              <w:t>LXSY</w:t>
            </w:r>
            <w:r>
              <w:rPr>
                <w:rFonts w:hint="eastAsia" w:ascii="宋体" w:hAnsi="宋体" w:cs="宋体"/>
                <w:color w:val="000000"/>
                <w:kern w:val="0"/>
                <w:sz w:val="18"/>
                <w:szCs w:val="18"/>
                <w:lang w:val="de-DE"/>
              </w:rPr>
              <w:t>-20</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de-DE"/>
              </w:rPr>
              <w:t>20</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de-DE"/>
              </w:rPr>
              <w:t>19</w:t>
            </w:r>
            <w:r>
              <w:rPr>
                <w:rFonts w:hint="eastAsia" w:ascii="宋体" w:hAnsi="宋体" w:cs="宋体"/>
                <w:color w:val="000000"/>
                <w:kern w:val="0"/>
                <w:sz w:val="18"/>
                <w:szCs w:val="18"/>
                <w:lang w:val="en-US" w:eastAsia="zh-CN"/>
              </w:rPr>
              <w:t>4</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ascii="宋体" w:hAnsi="宋体" w:cs="宋体"/>
                <w:color w:val="000000"/>
                <w:kern w:val="0"/>
                <w:sz w:val="18"/>
                <w:szCs w:val="18"/>
              </w:rPr>
              <w:t>1</w:t>
            </w:r>
            <w:r>
              <w:rPr>
                <w:rFonts w:hint="eastAsia" w:ascii="宋体" w:hAnsi="宋体" w:cs="宋体"/>
                <w:color w:val="000000"/>
                <w:kern w:val="0"/>
                <w:sz w:val="18"/>
                <w:szCs w:val="18"/>
                <w:lang w:val="en-US" w:eastAsia="zh-CN"/>
              </w:rPr>
              <w:t>34</w:t>
            </w:r>
          </w:p>
        </w:tc>
        <w:tc>
          <w:tcPr>
            <w:tcW w:w="10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de-DE"/>
              </w:rPr>
              <w:t>G1 B</w:t>
            </w:r>
          </w:p>
        </w:tc>
      </w:tr>
      <w:tr>
        <w:tblPrEx>
          <w:tblCellMar>
            <w:top w:w="0" w:type="dxa"/>
            <w:left w:w="108" w:type="dxa"/>
            <w:bottom w:w="0" w:type="dxa"/>
            <w:right w:w="108" w:type="dxa"/>
          </w:tblCellMar>
        </w:tblPrEx>
        <w:trPr>
          <w:trHeight w:val="270" w:hRule="atLeast"/>
          <w:jc w:val="center"/>
        </w:trPr>
        <w:tc>
          <w:tcPr>
            <w:tcW w:w="10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de-DE" w:eastAsia="zh-CN"/>
              </w:rPr>
              <w:t>LXSY</w:t>
            </w:r>
            <w:r>
              <w:rPr>
                <w:rFonts w:hint="eastAsia" w:ascii="宋体" w:hAnsi="宋体" w:cs="宋体"/>
                <w:color w:val="000000"/>
                <w:kern w:val="0"/>
                <w:sz w:val="18"/>
                <w:szCs w:val="18"/>
                <w:lang w:val="de-DE"/>
              </w:rPr>
              <w:t>-25</w:t>
            </w:r>
          </w:p>
        </w:tc>
        <w:tc>
          <w:tcPr>
            <w:tcW w:w="10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de-DE"/>
              </w:rPr>
              <w:t>25</w:t>
            </w:r>
          </w:p>
        </w:tc>
        <w:tc>
          <w:tcPr>
            <w:tcW w:w="6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222</w:t>
            </w:r>
          </w:p>
        </w:tc>
        <w:tc>
          <w:tcPr>
            <w:tcW w:w="68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102</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134</w:t>
            </w:r>
          </w:p>
        </w:tc>
        <w:tc>
          <w:tcPr>
            <w:tcW w:w="108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G1(1/4) B</w:t>
            </w:r>
          </w:p>
        </w:tc>
      </w:tr>
    </w:tbl>
    <w:p>
      <w:pPr>
        <w:widowControl/>
        <w:spacing w:line="276" w:lineRule="auto"/>
        <w:rPr>
          <w:rFonts w:ascii="新宋体" w:hAnsi="新宋体" w:eastAsia="新宋体"/>
          <w:kern w:val="0"/>
          <w:szCs w:val="21"/>
        </w:rPr>
      </w:pPr>
      <w:bookmarkStart w:id="0" w:name="_GoBack"/>
      <w:bookmarkEnd w:id="0"/>
    </w:p>
    <w:p>
      <w:pPr>
        <w:spacing w:line="276" w:lineRule="auto"/>
        <w:rPr>
          <w:rFonts w:ascii="新宋体" w:hAnsi="新宋体" w:eastAsia="新宋体"/>
          <w:b/>
          <w:szCs w:val="21"/>
        </w:rPr>
      </w:pPr>
      <w:r>
        <w:rPr>
          <w:rFonts w:hint="eastAsia" w:ascii="新宋体" w:hAnsi="新宋体" w:eastAsia="新宋体"/>
          <w:b/>
          <w:szCs w:val="21"/>
        </w:rPr>
        <w:t>安装与使用</w:t>
      </w:r>
    </w:p>
    <w:p>
      <w:pPr>
        <w:numPr>
          <w:ilvl w:val="0"/>
          <w:numId w:val="3"/>
        </w:numPr>
        <w:tabs>
          <w:tab w:val="left" w:pos="420"/>
        </w:tabs>
        <w:spacing w:line="280" w:lineRule="exact"/>
        <w:ind w:left="424" w:hanging="424"/>
        <w:rPr>
          <w:sz w:val="18"/>
          <w:szCs w:val="18"/>
        </w:rPr>
      </w:pPr>
      <w:r>
        <w:rPr>
          <w:rFonts w:hint="eastAsia"/>
          <w:sz w:val="18"/>
          <w:szCs w:val="18"/>
        </w:rPr>
        <w:t>选择水表口径，应根据用水量的大小以接近常用流量为宜，不能单纯以管道口径确定水表。</w:t>
      </w:r>
      <w:r>
        <w:rPr>
          <w:rFonts w:hint="eastAsia" w:ascii="宋体" w:hAnsi="宋体"/>
          <w:sz w:val="18"/>
          <w:szCs w:val="18"/>
        </w:rPr>
        <w:t>工作条件: a)流量范围</w:t>
      </w:r>
      <w:r>
        <w:rPr>
          <w:rFonts w:hint="eastAsia" w:ascii="宋体" w:hAnsi="宋体"/>
          <w:i/>
          <w:sz w:val="18"/>
          <w:szCs w:val="18"/>
        </w:rPr>
        <w:t>Q</w:t>
      </w:r>
      <w:r>
        <w:rPr>
          <w:rFonts w:hint="eastAsia" w:ascii="宋体" w:hAnsi="宋体"/>
          <w:sz w:val="18"/>
          <w:szCs w:val="18"/>
          <w:vertAlign w:val="subscript"/>
        </w:rPr>
        <w:t>1</w:t>
      </w:r>
      <w:r>
        <w:rPr>
          <w:rFonts w:hint="eastAsia" w:ascii="宋体" w:hAnsi="宋体"/>
          <w:sz w:val="18"/>
          <w:szCs w:val="18"/>
        </w:rPr>
        <w:t>～</w:t>
      </w:r>
      <w:r>
        <w:rPr>
          <w:rFonts w:hint="eastAsia" w:ascii="宋体" w:hAnsi="宋体"/>
          <w:i/>
          <w:sz w:val="18"/>
          <w:szCs w:val="18"/>
        </w:rPr>
        <w:t>Q</w:t>
      </w:r>
      <w:r>
        <w:rPr>
          <w:rFonts w:hint="eastAsia" w:ascii="宋体" w:hAnsi="宋体"/>
          <w:sz w:val="18"/>
          <w:szCs w:val="18"/>
          <w:vertAlign w:val="subscript"/>
        </w:rPr>
        <w:t>4</w:t>
      </w:r>
      <w:r>
        <w:rPr>
          <w:rFonts w:hint="eastAsia" w:ascii="宋体" w:hAnsi="宋体"/>
          <w:sz w:val="18"/>
          <w:szCs w:val="18"/>
        </w:rPr>
        <w:t>、b)环境温度:5℃～55℃、c)计量介质温度：</w:t>
      </w:r>
      <w:r>
        <w:rPr>
          <w:sz w:val="18"/>
          <w:szCs w:val="18"/>
        </w:rPr>
        <w:t>0.</w:t>
      </w:r>
      <w:r>
        <w:rPr>
          <w:rFonts w:hint="eastAsia"/>
          <w:sz w:val="18"/>
          <w:szCs w:val="18"/>
        </w:rPr>
        <w:t>1</w:t>
      </w:r>
      <w:r>
        <w:rPr>
          <w:rFonts w:hint="eastAsia" w:ascii="宋体" w:hAnsi="宋体" w:cs="宋体"/>
          <w:sz w:val="18"/>
          <w:szCs w:val="18"/>
        </w:rPr>
        <w:t>℃</w:t>
      </w:r>
      <w:r>
        <w:rPr>
          <w:rFonts w:hint="eastAsia" w:ascii="宋体" w:hAnsi="宋体"/>
          <w:sz w:val="18"/>
          <w:szCs w:val="18"/>
        </w:rPr>
        <w:t>～</w:t>
      </w:r>
      <w:r>
        <w:rPr>
          <w:sz w:val="18"/>
          <w:szCs w:val="18"/>
        </w:rPr>
        <w:t>30</w:t>
      </w:r>
      <w:r>
        <w:rPr>
          <w:rFonts w:hint="eastAsia" w:ascii="宋体" w:hAnsi="宋体" w:cs="宋体"/>
          <w:sz w:val="18"/>
          <w:szCs w:val="18"/>
        </w:rPr>
        <w:t>℃</w:t>
      </w:r>
      <w:r>
        <w:rPr>
          <w:rFonts w:hint="eastAsia"/>
          <w:sz w:val="18"/>
          <w:szCs w:val="18"/>
        </w:rPr>
        <w:t>、</w:t>
      </w:r>
      <w:r>
        <w:rPr>
          <w:rFonts w:hint="eastAsia" w:ascii="宋体" w:hAnsi="宋体"/>
          <w:sz w:val="18"/>
          <w:szCs w:val="18"/>
        </w:rPr>
        <w:t>d)水压:0.03MPa～1.0MPa、d）</w:t>
      </w:r>
      <w:r>
        <w:rPr>
          <w:rFonts w:hint="eastAsia"/>
          <w:sz w:val="18"/>
          <w:szCs w:val="18"/>
        </w:rPr>
        <w:t>水表禁止通入带有腐蚀性的液体。</w:t>
      </w:r>
    </w:p>
    <w:p>
      <w:pPr>
        <w:numPr>
          <w:ilvl w:val="0"/>
          <w:numId w:val="3"/>
        </w:numPr>
        <w:tabs>
          <w:tab w:val="left" w:pos="420"/>
        </w:tabs>
        <w:spacing w:line="280" w:lineRule="exact"/>
        <w:ind w:left="424" w:hanging="424"/>
        <w:rPr>
          <w:sz w:val="18"/>
          <w:szCs w:val="18"/>
        </w:rPr>
      </w:pPr>
      <w:r>
        <w:rPr>
          <w:rFonts w:hint="eastAsia"/>
          <w:sz w:val="18"/>
          <w:szCs w:val="18"/>
        </w:rPr>
        <w:t>水表应避免曝晒、冰冻、污染和水淹，且安装位置应方便拆装。在有冰冻期间，应将水表和水管保温材料包扎，同时将进水端阀门关闭，出水端阀门和水龙头打开，这样可防止水表因冰冻膨胀而损坏。</w:t>
      </w:r>
    </w:p>
    <w:p>
      <w:pPr>
        <w:numPr>
          <w:ilvl w:val="0"/>
          <w:numId w:val="3"/>
        </w:numPr>
        <w:tabs>
          <w:tab w:val="left" w:pos="420"/>
        </w:tabs>
        <w:spacing w:line="280" w:lineRule="exact"/>
        <w:ind w:left="424" w:hanging="424"/>
        <w:rPr>
          <w:sz w:val="18"/>
          <w:szCs w:val="18"/>
        </w:rPr>
      </w:pPr>
      <w:r>
        <w:rPr>
          <w:rFonts w:hint="eastAsia"/>
          <w:sz w:val="18"/>
          <w:szCs w:val="18"/>
        </w:rPr>
        <w:t>应根据水表标示进行安装（“H”为水平安装，“V”为垂直安装），且表壳箭头与管道水流方向一致。水表上游端应安装控制阀，便于水表维修。</w:t>
      </w:r>
    </w:p>
    <w:p>
      <w:pPr>
        <w:numPr>
          <w:ilvl w:val="0"/>
          <w:numId w:val="3"/>
        </w:numPr>
        <w:tabs>
          <w:tab w:val="left" w:pos="420"/>
        </w:tabs>
        <w:spacing w:line="280" w:lineRule="exact"/>
        <w:ind w:left="424" w:hanging="424"/>
        <w:rPr>
          <w:sz w:val="18"/>
          <w:szCs w:val="18"/>
        </w:rPr>
      </w:pPr>
      <w:r>
        <w:rPr>
          <w:rFonts w:hint="eastAsia"/>
          <w:sz w:val="18"/>
          <w:szCs w:val="18"/>
        </w:rPr>
        <w:t>水表不应直接与管道连接，水表与管道间应有活动接口（如管接头、螺母、密封垫圈等。) 。安装水表时,不应受由管子和管件引起的过度应力，以免损坏水表。</w:t>
      </w:r>
    </w:p>
    <w:p>
      <w:pPr>
        <w:numPr>
          <w:ilvl w:val="0"/>
          <w:numId w:val="3"/>
        </w:numPr>
        <w:tabs>
          <w:tab w:val="left" w:pos="420"/>
        </w:tabs>
        <w:spacing w:line="280" w:lineRule="exact"/>
        <w:ind w:left="424" w:hanging="424"/>
        <w:rPr>
          <w:sz w:val="18"/>
          <w:szCs w:val="18"/>
        </w:rPr>
      </w:pPr>
      <w:r>
        <w:rPr>
          <w:rFonts w:hint="eastAsia"/>
          <w:sz w:val="18"/>
          <w:szCs w:val="18"/>
        </w:rPr>
        <w:t>水表不使用时，电子叶轮如有微小转动，是由于管道中的水压不够稳定或其它原因引起的，建议在水表不使用时关闭水表上游的控制阀门以及在水表进水端装止回阀。</w:t>
      </w:r>
    </w:p>
    <w:p>
      <w:pPr>
        <w:numPr>
          <w:ilvl w:val="0"/>
          <w:numId w:val="3"/>
        </w:numPr>
        <w:tabs>
          <w:tab w:val="left" w:pos="420"/>
        </w:tabs>
        <w:spacing w:line="280" w:lineRule="exact"/>
        <w:ind w:left="424" w:hanging="424"/>
        <w:rPr>
          <w:sz w:val="18"/>
          <w:szCs w:val="18"/>
        </w:rPr>
      </w:pPr>
      <w:r>
        <w:rPr>
          <w:rFonts w:hint="eastAsia"/>
          <w:sz w:val="18"/>
          <w:szCs w:val="18"/>
        </w:rPr>
        <w:t>安装具有节水功能的水表时，在进水口一定要用配套专用管接头，以减少水压波动引起的水表自转现象。</w:t>
      </w:r>
    </w:p>
    <w:p>
      <w:pPr>
        <w:numPr>
          <w:ilvl w:val="0"/>
          <w:numId w:val="3"/>
        </w:numPr>
        <w:tabs>
          <w:tab w:val="left" w:pos="420"/>
        </w:tabs>
        <w:spacing w:line="280" w:lineRule="exact"/>
        <w:ind w:left="424" w:hanging="424"/>
        <w:rPr>
          <w:sz w:val="18"/>
          <w:szCs w:val="18"/>
        </w:rPr>
      </w:pPr>
      <w:r>
        <w:rPr>
          <w:rFonts w:hint="eastAsia"/>
          <w:sz w:val="18"/>
          <w:szCs w:val="18"/>
        </w:rPr>
        <w:t>新装管道务必将管道内沙子、泥沙、麻丝等杂物冲洗干净后方可装表，以免造成水表故障。水表安装时，注意水表的连接长度，当两端管路间距超过水表连接长度时，应修正管路间距，满足水表连接长度，否则间距过大强行安装将造成水表连接螺纹端断裂或管接头断裂以及连接螺母的损坏；若水表的两端管路不在同一轴线上，应通过其它途径来修正使之与管路在同一轴线上。</w:t>
      </w:r>
    </w:p>
    <w:p>
      <w:pPr>
        <w:numPr>
          <w:ilvl w:val="0"/>
          <w:numId w:val="3"/>
        </w:numPr>
        <w:tabs>
          <w:tab w:val="left" w:pos="420"/>
        </w:tabs>
        <w:spacing w:line="280" w:lineRule="exact"/>
        <w:ind w:left="424" w:hanging="424"/>
        <w:rPr>
          <w:sz w:val="18"/>
          <w:szCs w:val="18"/>
        </w:rPr>
      </w:pPr>
      <w:r>
        <w:rPr>
          <w:rFonts w:hint="eastAsia"/>
          <w:sz w:val="18"/>
          <w:szCs w:val="18"/>
        </w:rPr>
        <w:t>为计量准确，水龙头应高于水表。</w:t>
      </w:r>
    </w:p>
    <w:p>
      <w:pPr>
        <w:numPr>
          <w:ilvl w:val="0"/>
          <w:numId w:val="3"/>
        </w:numPr>
        <w:tabs>
          <w:tab w:val="left" w:pos="420"/>
        </w:tabs>
        <w:spacing w:line="280" w:lineRule="exact"/>
        <w:ind w:left="424" w:hanging="424"/>
        <w:rPr>
          <w:sz w:val="18"/>
          <w:szCs w:val="18"/>
        </w:rPr>
      </w:pPr>
      <w:r>
        <w:rPr>
          <w:rFonts w:hint="eastAsia"/>
          <w:sz w:val="18"/>
          <w:szCs w:val="18"/>
        </w:rPr>
        <w:t>为保证计量精度，表前应保留</w:t>
      </w:r>
      <w:r>
        <w:rPr>
          <w:sz w:val="18"/>
          <w:szCs w:val="18"/>
        </w:rPr>
        <w:t>10D</w:t>
      </w:r>
      <w:r>
        <w:rPr>
          <w:rFonts w:hint="eastAsia"/>
          <w:sz w:val="18"/>
          <w:szCs w:val="18"/>
        </w:rPr>
        <w:t>（</w:t>
      </w:r>
      <w:r>
        <w:rPr>
          <w:sz w:val="18"/>
          <w:szCs w:val="18"/>
        </w:rPr>
        <w:t>D</w:t>
      </w:r>
      <w:r>
        <w:rPr>
          <w:rFonts w:hint="eastAsia"/>
          <w:sz w:val="18"/>
          <w:szCs w:val="18"/>
        </w:rPr>
        <w:t>为管道口径）以上直管段，表后应保留</w:t>
      </w:r>
      <w:r>
        <w:rPr>
          <w:sz w:val="18"/>
          <w:szCs w:val="18"/>
        </w:rPr>
        <w:t>5D</w:t>
      </w:r>
      <w:r>
        <w:rPr>
          <w:rFonts w:hint="eastAsia"/>
          <w:sz w:val="18"/>
          <w:szCs w:val="18"/>
        </w:rPr>
        <w:t>以上直管段，同时尽量避免弯头、三通、锥管、泵的干扰。若进水口管道有缩径管时，表前直管段在</w:t>
      </w:r>
      <w:r>
        <w:rPr>
          <w:sz w:val="18"/>
          <w:szCs w:val="18"/>
        </w:rPr>
        <w:t>15D</w:t>
      </w:r>
      <w:r>
        <w:rPr>
          <w:rFonts w:hint="eastAsia"/>
          <w:sz w:val="18"/>
          <w:szCs w:val="18"/>
        </w:rPr>
        <w:t>以上；进水口管道有</w:t>
      </w:r>
      <w:r>
        <w:rPr>
          <w:sz w:val="18"/>
          <w:szCs w:val="18"/>
        </w:rPr>
        <w:t>90</w:t>
      </w:r>
      <w:r>
        <w:rPr>
          <w:sz w:val="18"/>
          <w:szCs w:val="18"/>
          <w:vertAlign w:val="superscript"/>
        </w:rPr>
        <w:t>o</w:t>
      </w:r>
      <w:r>
        <w:rPr>
          <w:rFonts w:hint="eastAsia"/>
          <w:sz w:val="18"/>
          <w:szCs w:val="18"/>
        </w:rPr>
        <w:t>弯头时，表前直管段在</w:t>
      </w:r>
      <w:r>
        <w:rPr>
          <w:sz w:val="18"/>
          <w:szCs w:val="18"/>
        </w:rPr>
        <w:t>20D</w:t>
      </w:r>
      <w:r>
        <w:rPr>
          <w:rFonts w:hint="eastAsia"/>
          <w:sz w:val="18"/>
          <w:szCs w:val="18"/>
        </w:rPr>
        <w:t>以上；进水口管道有半开的阀门时，表前直管段在</w:t>
      </w:r>
      <w:r>
        <w:rPr>
          <w:sz w:val="18"/>
          <w:szCs w:val="18"/>
        </w:rPr>
        <w:t>50D</w:t>
      </w:r>
      <w:r>
        <w:rPr>
          <w:rFonts w:hint="eastAsia"/>
          <w:sz w:val="18"/>
          <w:szCs w:val="18"/>
        </w:rPr>
        <w:t>以上。</w:t>
      </w:r>
    </w:p>
    <w:p>
      <w:pPr>
        <w:numPr>
          <w:ilvl w:val="0"/>
          <w:numId w:val="3"/>
        </w:numPr>
        <w:tabs>
          <w:tab w:val="left" w:pos="420"/>
        </w:tabs>
        <w:spacing w:line="280" w:lineRule="exact"/>
        <w:ind w:left="424" w:hanging="424"/>
        <w:rPr>
          <w:sz w:val="18"/>
          <w:szCs w:val="18"/>
        </w:rPr>
      </w:pPr>
      <w:r>
        <w:rPr>
          <w:rFonts w:hint="eastAsia"/>
          <w:sz w:val="18"/>
          <w:szCs w:val="18"/>
        </w:rPr>
        <w:t>为使水表能长期正常工作，水表内应始终充满水。如果空气有可能进入水表，应在水表上游安装放气阀。</w:t>
      </w:r>
    </w:p>
    <w:p>
      <w:pPr>
        <w:numPr>
          <w:ilvl w:val="0"/>
          <w:numId w:val="3"/>
        </w:numPr>
        <w:tabs>
          <w:tab w:val="left" w:pos="420"/>
        </w:tabs>
        <w:spacing w:line="280" w:lineRule="exact"/>
        <w:ind w:left="424" w:hanging="424"/>
        <w:rPr>
          <w:sz w:val="18"/>
          <w:szCs w:val="18"/>
        </w:rPr>
      </w:pPr>
      <w:r>
        <w:rPr>
          <w:rFonts w:hint="eastAsia"/>
          <w:sz w:val="18"/>
          <w:szCs w:val="18"/>
        </w:rPr>
        <w:t>应防止安装场所周围环境的冲击或振动导致水表损坏，还应避免水表承受由管道和管件造成的过度应力，必要时须将水表安装在底座或托架上。</w:t>
      </w:r>
    </w:p>
    <w:p>
      <w:pPr>
        <w:numPr>
          <w:ilvl w:val="0"/>
          <w:numId w:val="3"/>
        </w:numPr>
        <w:tabs>
          <w:tab w:val="left" w:pos="420"/>
        </w:tabs>
        <w:spacing w:line="280" w:lineRule="exact"/>
        <w:ind w:left="424" w:hanging="424"/>
        <w:rPr>
          <w:sz w:val="18"/>
          <w:szCs w:val="18"/>
        </w:rPr>
      </w:pPr>
      <w:r>
        <w:rPr>
          <w:rFonts w:hint="eastAsia"/>
          <w:sz w:val="18"/>
          <w:szCs w:val="18"/>
        </w:rPr>
        <w:t>应采取措施防止不利的水力条件（空化、浪涌、水锤）。</w:t>
      </w:r>
    </w:p>
    <w:p>
      <w:pPr>
        <w:numPr>
          <w:ilvl w:val="0"/>
          <w:numId w:val="3"/>
        </w:numPr>
        <w:tabs>
          <w:tab w:val="left" w:pos="420"/>
        </w:tabs>
        <w:spacing w:line="280" w:lineRule="exact"/>
        <w:ind w:left="424" w:hanging="424"/>
        <w:rPr>
          <w:sz w:val="18"/>
          <w:szCs w:val="18"/>
        </w:rPr>
      </w:pPr>
      <w:r>
        <w:rPr>
          <w:rFonts w:hint="eastAsia"/>
          <w:sz w:val="18"/>
          <w:szCs w:val="18"/>
        </w:rPr>
        <w:t>上下游水管应适当固定，以保证在拆除水表或断开一侧连接时，任何部分都不会因水的推力而移位。</w:t>
      </w:r>
    </w:p>
    <w:p>
      <w:pPr>
        <w:numPr>
          <w:ilvl w:val="0"/>
          <w:numId w:val="3"/>
        </w:numPr>
        <w:tabs>
          <w:tab w:val="left" w:pos="420"/>
        </w:tabs>
        <w:spacing w:line="280" w:lineRule="exact"/>
        <w:ind w:left="424" w:hanging="424"/>
        <w:rPr>
          <w:sz w:val="18"/>
          <w:szCs w:val="18"/>
        </w:rPr>
      </w:pPr>
      <w:r>
        <w:rPr>
          <w:rFonts w:hint="eastAsia"/>
          <w:sz w:val="18"/>
          <w:szCs w:val="18"/>
        </w:rPr>
        <w:t>由于未严格按照安装注意事项进行安装，造成水表或其配件的损坏，一切损失由安装者自负。</w:t>
      </w:r>
    </w:p>
    <w:p>
      <w:pPr>
        <w:spacing w:line="276" w:lineRule="auto"/>
        <w:rPr>
          <w:rFonts w:ascii="新宋体" w:hAnsi="新宋体" w:eastAsia="新宋体"/>
          <w:b/>
          <w:szCs w:val="21"/>
        </w:rPr>
      </w:pPr>
    </w:p>
    <w:p>
      <w:pPr>
        <w:spacing w:line="276" w:lineRule="auto"/>
        <w:rPr>
          <w:rFonts w:ascii="新宋体" w:hAnsi="新宋体" w:eastAsia="新宋体"/>
          <w:b/>
          <w:szCs w:val="21"/>
        </w:rPr>
      </w:pPr>
    </w:p>
    <w:p>
      <w:pPr>
        <w:spacing w:line="276" w:lineRule="auto"/>
        <w:rPr>
          <w:rFonts w:ascii="新宋体" w:hAnsi="新宋体" w:eastAsia="新宋体"/>
          <w:b/>
          <w:szCs w:val="21"/>
        </w:rPr>
      </w:pPr>
    </w:p>
    <w:p>
      <w:pPr>
        <w:spacing w:line="276" w:lineRule="auto"/>
        <w:rPr>
          <w:rFonts w:ascii="新宋体" w:hAnsi="新宋体" w:eastAsia="新宋体"/>
          <w:b/>
          <w:szCs w:val="21"/>
        </w:rPr>
      </w:pPr>
      <w:r>
        <w:rPr>
          <w:rFonts w:hint="eastAsia" w:ascii="新宋体" w:hAnsi="新宋体" w:eastAsia="新宋体"/>
          <w:b/>
          <w:szCs w:val="21"/>
        </w:rPr>
        <w:t>常见故障及排除方法</w:t>
      </w:r>
    </w:p>
    <w:tbl>
      <w:tblPr>
        <w:tblStyle w:val="21"/>
        <w:tblW w:w="58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2076"/>
        <w:gridCol w:w="3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692" w:type="dxa"/>
            <w:vAlign w:val="center"/>
          </w:tcPr>
          <w:p>
            <w:pPr>
              <w:spacing w:line="280" w:lineRule="exact"/>
              <w:jc w:val="center"/>
              <w:rPr>
                <w:sz w:val="15"/>
                <w:szCs w:val="15"/>
              </w:rPr>
            </w:pPr>
            <w:r>
              <w:rPr>
                <w:rFonts w:hint="eastAsia"/>
                <w:sz w:val="15"/>
                <w:szCs w:val="15"/>
              </w:rPr>
              <w:t>序号</w:t>
            </w:r>
          </w:p>
        </w:tc>
        <w:tc>
          <w:tcPr>
            <w:tcW w:w="2076" w:type="dxa"/>
            <w:vAlign w:val="center"/>
          </w:tcPr>
          <w:p>
            <w:pPr>
              <w:spacing w:line="280" w:lineRule="exact"/>
              <w:jc w:val="center"/>
              <w:rPr>
                <w:sz w:val="15"/>
                <w:szCs w:val="15"/>
              </w:rPr>
            </w:pPr>
            <w:r>
              <w:rPr>
                <w:rFonts w:hint="eastAsia"/>
                <w:sz w:val="15"/>
                <w:szCs w:val="15"/>
              </w:rPr>
              <w:t>故障描述</w:t>
            </w:r>
          </w:p>
        </w:tc>
        <w:tc>
          <w:tcPr>
            <w:tcW w:w="3112" w:type="dxa"/>
            <w:vAlign w:val="center"/>
          </w:tcPr>
          <w:p>
            <w:pPr>
              <w:spacing w:line="280" w:lineRule="exact"/>
              <w:jc w:val="center"/>
              <w:rPr>
                <w:sz w:val="15"/>
                <w:szCs w:val="15"/>
              </w:rPr>
            </w:pPr>
            <w:r>
              <w:rPr>
                <w:rFonts w:hint="eastAsia"/>
                <w:sz w:val="15"/>
                <w:szCs w:val="15"/>
              </w:rPr>
              <w:t>排除方法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7" w:hRule="atLeast"/>
          <w:jc w:val="center"/>
        </w:trPr>
        <w:tc>
          <w:tcPr>
            <w:tcW w:w="692" w:type="dxa"/>
            <w:vAlign w:val="center"/>
          </w:tcPr>
          <w:p>
            <w:pPr>
              <w:spacing w:line="280" w:lineRule="exact"/>
              <w:jc w:val="center"/>
              <w:rPr>
                <w:sz w:val="15"/>
                <w:szCs w:val="15"/>
              </w:rPr>
            </w:pPr>
            <w:r>
              <w:rPr>
                <w:rFonts w:hint="eastAsia"/>
                <w:sz w:val="15"/>
                <w:szCs w:val="15"/>
              </w:rPr>
              <w:t>1</w:t>
            </w:r>
          </w:p>
        </w:tc>
        <w:tc>
          <w:tcPr>
            <w:tcW w:w="2076" w:type="dxa"/>
            <w:vAlign w:val="center"/>
          </w:tcPr>
          <w:p>
            <w:pPr>
              <w:spacing w:line="240" w:lineRule="exact"/>
              <w:jc w:val="center"/>
              <w:rPr>
                <w:sz w:val="15"/>
                <w:szCs w:val="15"/>
              </w:rPr>
            </w:pPr>
            <w:r>
              <w:rPr>
                <w:rFonts w:hint="eastAsia"/>
                <w:sz w:val="15"/>
                <w:szCs w:val="15"/>
              </w:rPr>
              <w:t>水流很小</w:t>
            </w:r>
          </w:p>
          <w:p>
            <w:pPr>
              <w:spacing w:line="240" w:lineRule="exact"/>
              <w:jc w:val="center"/>
              <w:rPr>
                <w:sz w:val="15"/>
                <w:szCs w:val="15"/>
              </w:rPr>
            </w:pPr>
            <w:r>
              <w:rPr>
                <w:rFonts w:hint="eastAsia"/>
                <w:sz w:val="15"/>
                <w:szCs w:val="15"/>
              </w:rPr>
              <w:t>或者无水</w:t>
            </w:r>
          </w:p>
        </w:tc>
        <w:tc>
          <w:tcPr>
            <w:tcW w:w="3112" w:type="dxa"/>
            <w:vAlign w:val="center"/>
          </w:tcPr>
          <w:p>
            <w:pPr>
              <w:spacing w:line="240" w:lineRule="exact"/>
              <w:rPr>
                <w:sz w:val="15"/>
                <w:szCs w:val="15"/>
              </w:rPr>
            </w:pPr>
            <w:r>
              <w:rPr>
                <w:rFonts w:hint="eastAsia"/>
                <w:sz w:val="15"/>
                <w:szCs w:val="15"/>
              </w:rPr>
              <w:t>水表在长期使用过程中，若管道内有杂物、铁锈等沉积物难免会堵塞滤水网而影响供水和准确计量，如出现上述情况应与当地自来水公司取得联系并予以解决，不得自行拆装。</w:t>
            </w:r>
          </w:p>
        </w:tc>
      </w:tr>
    </w:tbl>
    <w:p>
      <w:pPr>
        <w:spacing w:line="280" w:lineRule="exact"/>
        <w:rPr>
          <w:sz w:val="15"/>
          <w:szCs w:val="15"/>
        </w:rPr>
      </w:pPr>
    </w:p>
    <w:p>
      <w:pPr>
        <w:spacing w:line="276" w:lineRule="auto"/>
        <w:rPr>
          <w:rFonts w:ascii="新宋体" w:hAnsi="新宋体" w:eastAsia="新宋体"/>
          <w:b/>
          <w:szCs w:val="21"/>
        </w:rPr>
      </w:pPr>
      <w:r>
        <w:rPr>
          <w:rFonts w:hint="eastAsia" w:ascii="新宋体" w:hAnsi="新宋体" w:eastAsia="新宋体"/>
          <w:b/>
          <w:szCs w:val="21"/>
        </w:rPr>
        <w:t>运输存储</w:t>
      </w:r>
    </w:p>
    <w:p>
      <w:pPr>
        <w:numPr>
          <w:ilvl w:val="1"/>
          <w:numId w:val="3"/>
        </w:numPr>
        <w:tabs>
          <w:tab w:val="left" w:pos="420"/>
        </w:tabs>
        <w:spacing w:line="280" w:lineRule="exact"/>
        <w:ind w:left="424" w:hanging="424"/>
        <w:rPr>
          <w:rFonts w:ascii="宋体" w:hAnsi="宋体"/>
          <w:sz w:val="18"/>
          <w:szCs w:val="18"/>
        </w:rPr>
      </w:pPr>
      <w:r>
        <w:rPr>
          <w:rFonts w:hint="eastAsia" w:ascii="宋体" w:hAnsi="宋体"/>
          <w:sz w:val="18"/>
          <w:szCs w:val="18"/>
        </w:rPr>
        <w:t>水表运输和拆封不应受到剧烈冲击，应根据GB/T 13384-2008《机电产品包装通用技术条件》的规定运输和储存。水表按规定装入箱后，可用无强烈震动交通工具运输。运输途中不应受雨、霜、雾直接影响，按标志向上放置并不受挤压撞击等损伤。</w:t>
      </w:r>
    </w:p>
    <w:p>
      <w:pPr>
        <w:numPr>
          <w:ilvl w:val="1"/>
          <w:numId w:val="3"/>
        </w:numPr>
        <w:tabs>
          <w:tab w:val="left" w:pos="420"/>
        </w:tabs>
        <w:spacing w:line="280" w:lineRule="exact"/>
        <w:ind w:left="424" w:hanging="424"/>
        <w:rPr>
          <w:rFonts w:ascii="宋体" w:hAnsi="宋体"/>
          <w:sz w:val="18"/>
          <w:szCs w:val="18"/>
        </w:rPr>
      </w:pPr>
      <w:r>
        <w:rPr>
          <w:rFonts w:hint="eastAsia" w:ascii="宋体" w:hAnsi="宋体"/>
          <w:sz w:val="18"/>
          <w:szCs w:val="18"/>
        </w:rPr>
        <w:t xml:space="preserve">水表应贮存在干燥、通风好，且在空气中不含有腐蚀性介质的场所。保存在原包装内，保存地环境温度为5℃～55℃，相对湿度不超过70%。 </w:t>
      </w:r>
    </w:p>
    <w:p>
      <w:pPr>
        <w:numPr>
          <w:ilvl w:val="1"/>
          <w:numId w:val="3"/>
        </w:numPr>
        <w:tabs>
          <w:tab w:val="left" w:pos="420"/>
        </w:tabs>
        <w:spacing w:line="280" w:lineRule="exact"/>
        <w:ind w:left="424" w:hanging="424"/>
        <w:rPr>
          <w:rFonts w:ascii="宋体" w:hAnsi="宋体"/>
          <w:sz w:val="18"/>
          <w:szCs w:val="18"/>
        </w:rPr>
      </w:pPr>
      <w:r>
        <w:rPr>
          <w:rFonts w:hint="eastAsia" w:ascii="宋体" w:hAnsi="宋体"/>
          <w:sz w:val="18"/>
          <w:szCs w:val="18"/>
        </w:rPr>
        <w:t>水表在仓库里保存，应放在台架上，叠放高度不超过5层，贮存时间不应超过6个月，超过6个月的应重新进行性能检查。</w:t>
      </w:r>
    </w:p>
    <w:p>
      <w:pPr>
        <w:spacing w:line="276" w:lineRule="auto"/>
        <w:rPr>
          <w:rFonts w:ascii="新宋体" w:hAnsi="新宋体" w:eastAsia="新宋体"/>
          <w:b/>
          <w:szCs w:val="21"/>
        </w:rPr>
      </w:pPr>
    </w:p>
    <w:p>
      <w:pPr>
        <w:spacing w:line="276" w:lineRule="auto"/>
        <w:rPr>
          <w:rFonts w:ascii="新宋体" w:hAnsi="新宋体" w:eastAsia="新宋体"/>
          <w:b/>
          <w:szCs w:val="21"/>
        </w:rPr>
      </w:pPr>
      <w:r>
        <w:rPr>
          <w:rFonts w:hint="eastAsia" w:ascii="新宋体" w:hAnsi="新宋体" w:eastAsia="新宋体"/>
          <w:b/>
          <w:szCs w:val="21"/>
        </w:rPr>
        <w:t>产品保证期限</w:t>
      </w:r>
    </w:p>
    <w:p>
      <w:pPr>
        <w:spacing w:line="280" w:lineRule="exact"/>
        <w:ind w:firstLine="360" w:firstLineChars="200"/>
        <w:jc w:val="left"/>
        <w:rPr>
          <w:rFonts w:ascii="宋体" w:hAnsi="宋体"/>
          <w:sz w:val="18"/>
          <w:szCs w:val="18"/>
        </w:rPr>
      </w:pPr>
      <w:r>
        <w:rPr>
          <w:rFonts w:hint="eastAsia" w:ascii="宋体" w:hAnsi="宋体"/>
          <w:sz w:val="18"/>
          <w:szCs w:val="18"/>
        </w:rPr>
        <w:t>我公司智能水表自售</w:t>
      </w:r>
      <w:r>
        <w:rPr>
          <w:rFonts w:hint="eastAsia" w:ascii="宋体" w:hAnsi="宋体"/>
          <w:sz w:val="18"/>
          <w:szCs w:val="18"/>
          <w:lang w:eastAsia="zh-CN"/>
        </w:rPr>
        <w:t>出之日起</w:t>
      </w:r>
      <w:r>
        <w:rPr>
          <w:rFonts w:hint="eastAsia" w:ascii="宋体" w:hAnsi="宋体"/>
          <w:b/>
          <w:sz w:val="18"/>
          <w:szCs w:val="18"/>
          <w:lang w:val="en-US" w:eastAsia="zh-CN"/>
        </w:rPr>
        <w:t>2年内</w:t>
      </w:r>
      <w:r>
        <w:rPr>
          <w:rFonts w:hint="eastAsia" w:ascii="宋体" w:hAnsi="宋体"/>
          <w:sz w:val="18"/>
          <w:szCs w:val="18"/>
        </w:rPr>
        <w:t>，凡安装合理，用户遵守说明书规定要求正常使用，确因制造质量引起的内部机件损坏或故障（冻坏除外），并确保制造厂铅封封帽完整且无人为损坏的情况下，制造厂给予修理或更换。</w:t>
      </w:r>
    </w:p>
    <w:p>
      <w:pPr>
        <w:spacing w:line="276" w:lineRule="auto"/>
        <w:rPr>
          <w:rFonts w:ascii="新宋体" w:hAnsi="新宋体" w:eastAsia="新宋体"/>
          <w:b/>
          <w:szCs w:val="21"/>
        </w:rPr>
      </w:pPr>
    </w:p>
    <w:p>
      <w:pPr>
        <w:spacing w:line="276" w:lineRule="auto"/>
        <w:rPr>
          <w:rFonts w:ascii="新宋体" w:hAnsi="新宋体" w:eastAsia="新宋体"/>
          <w:b/>
          <w:szCs w:val="21"/>
        </w:rPr>
      </w:pPr>
      <w:r>
        <w:rPr>
          <w:rFonts w:hint="eastAsia" w:ascii="新宋体" w:hAnsi="新宋体" w:eastAsia="新宋体"/>
          <w:b/>
          <w:szCs w:val="21"/>
        </w:rPr>
        <w:t>配件及声明</w:t>
      </w:r>
    </w:p>
    <w:p>
      <w:pPr>
        <w:spacing w:line="280" w:lineRule="exact"/>
        <w:ind w:firstLine="360" w:firstLineChars="200"/>
        <w:jc w:val="left"/>
        <w:rPr>
          <w:rFonts w:ascii="宋体" w:hAnsi="宋体"/>
          <w:sz w:val="18"/>
          <w:szCs w:val="18"/>
        </w:rPr>
      </w:pPr>
      <w:r>
        <w:rPr>
          <w:rFonts w:hint="eastAsia" w:ascii="宋体" w:hAnsi="宋体"/>
          <w:sz w:val="18"/>
          <w:szCs w:val="18"/>
        </w:rPr>
        <w:t>使用前请仔细阅读本使用说明书。随同每只水表有管接头、螺母及橡胶密封圈各两件,说明书一份。</w:t>
      </w:r>
    </w:p>
    <w:p>
      <w:pPr>
        <w:spacing w:line="280" w:lineRule="exact"/>
        <w:ind w:firstLine="360" w:firstLineChars="200"/>
        <w:jc w:val="left"/>
        <w:rPr>
          <w:rFonts w:ascii="宋体" w:hAnsi="宋体"/>
          <w:sz w:val="18"/>
          <w:szCs w:val="18"/>
        </w:rPr>
      </w:pPr>
      <w:r>
        <w:rPr>
          <w:rFonts w:hint="eastAsia" w:ascii="宋体" w:hAnsi="宋体"/>
          <w:sz w:val="18"/>
          <w:szCs w:val="18"/>
        </w:rPr>
        <w:t>本公司的使用说明书并无任何明确或隐含的保证，本公司有对使用说明书进行更改和修订的权利，</w:t>
      </w:r>
      <w:r>
        <w:rPr>
          <w:rFonts w:ascii="宋体" w:hAnsi="宋体"/>
          <w:sz w:val="18"/>
          <w:szCs w:val="18"/>
        </w:rPr>
        <w:t>产品型号规格及技术指标如有改动，厂家具有最终解释权</w:t>
      </w:r>
      <w:r>
        <w:rPr>
          <w:rFonts w:hint="eastAsia" w:ascii="宋体" w:hAnsi="宋体"/>
          <w:sz w:val="18"/>
          <w:szCs w:val="18"/>
        </w:rPr>
        <w:t>，一切以实际产品为主。</w:t>
      </w:r>
    </w:p>
    <w:sectPr>
      <w:headerReference r:id="rId3" w:type="default"/>
      <w:footerReference r:id="rId4" w:type="default"/>
      <w:pgSz w:w="7370" w:h="10772"/>
      <w:pgMar w:top="567" w:right="680" w:bottom="567" w:left="680" w:header="451" w:footer="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320" w:lineRule="atLeast"/>
    </w:pPr>
    <w:r>
      <mc:AlternateContent>
        <mc:Choice Requires="wps">
          <w:drawing>
            <wp:anchor distT="0" distB="0" distL="114300" distR="114300" simplePos="0" relativeHeight="251659264" behindDoc="0" locked="0" layoutInCell="1" allowOverlap="1">
              <wp:simplePos x="0" y="0"/>
              <wp:positionH relativeFrom="margin">
                <wp:posOffset>1334135</wp:posOffset>
              </wp:positionH>
              <wp:positionV relativeFrom="paragraph">
                <wp:posOffset>27305</wp:posOffset>
              </wp:positionV>
              <wp:extent cx="1275715" cy="35877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275715" cy="358775"/>
                      </a:xfrm>
                      <a:prstGeom prst="rect">
                        <a:avLst/>
                      </a:prstGeom>
                      <a:noFill/>
                      <a:ln w="9525">
                        <a:noFill/>
                        <a:miter/>
                      </a:ln>
                      <a:effectLst/>
                    </wps:spPr>
                    <wps:txbx>
                      <w:txbxContent>
                        <w:p>
                          <w:pPr>
                            <w:pStyle w:val="15"/>
                            <w:spacing w:line="320" w:lineRule="atLeast"/>
                            <w:rPr>
                              <w:sz w:val="15"/>
                              <w:szCs w:val="15"/>
                            </w:rPr>
                          </w:pPr>
                          <w:r>
                            <w:rPr>
                              <w:sz w:val="15"/>
                              <w:szCs w:val="15"/>
                            </w:rPr>
                            <w:t xml:space="preserve">第 </w:t>
                          </w:r>
                          <w:r>
                            <w:rPr>
                              <w:rStyle w:val="24"/>
                              <w:sz w:val="15"/>
                              <w:szCs w:val="15"/>
                            </w:rPr>
                            <w:t xml:space="preserve"> </w:t>
                          </w:r>
                          <w:r>
                            <w:rPr>
                              <w:rStyle w:val="24"/>
                              <w:sz w:val="15"/>
                              <w:szCs w:val="15"/>
                            </w:rPr>
                            <w:fldChar w:fldCharType="begin"/>
                          </w:r>
                          <w:r>
                            <w:rPr>
                              <w:rStyle w:val="24"/>
                              <w:sz w:val="15"/>
                              <w:szCs w:val="15"/>
                            </w:rPr>
                            <w:instrText xml:space="preserve"> PAGE </w:instrText>
                          </w:r>
                          <w:r>
                            <w:rPr>
                              <w:rStyle w:val="24"/>
                              <w:sz w:val="15"/>
                              <w:szCs w:val="15"/>
                            </w:rPr>
                            <w:fldChar w:fldCharType="separate"/>
                          </w:r>
                          <w:r>
                            <w:rPr>
                              <w:rStyle w:val="24"/>
                              <w:sz w:val="15"/>
                              <w:szCs w:val="15"/>
                            </w:rPr>
                            <w:t>4</w:t>
                          </w:r>
                          <w:r>
                            <w:rPr>
                              <w:rStyle w:val="24"/>
                              <w:sz w:val="15"/>
                              <w:szCs w:val="15"/>
                            </w:rPr>
                            <w:fldChar w:fldCharType="end"/>
                          </w:r>
                          <w:r>
                            <w:rPr>
                              <w:rStyle w:val="24"/>
                              <w:sz w:val="15"/>
                              <w:szCs w:val="15"/>
                            </w:rPr>
                            <w:t xml:space="preserve">  </w:t>
                          </w:r>
                          <w:r>
                            <w:rPr>
                              <w:sz w:val="15"/>
                              <w:szCs w:val="15"/>
                            </w:rPr>
                            <w:t xml:space="preserve">页    共 </w:t>
                          </w:r>
                          <w:r>
                            <w:rPr>
                              <w:rStyle w:val="24"/>
                              <w:sz w:val="15"/>
                              <w:szCs w:val="15"/>
                            </w:rPr>
                            <w:fldChar w:fldCharType="begin"/>
                          </w:r>
                          <w:r>
                            <w:rPr>
                              <w:rStyle w:val="24"/>
                              <w:sz w:val="15"/>
                              <w:szCs w:val="15"/>
                            </w:rPr>
                            <w:instrText xml:space="preserve"> NUMPAGES </w:instrText>
                          </w:r>
                          <w:r>
                            <w:rPr>
                              <w:rStyle w:val="24"/>
                              <w:sz w:val="15"/>
                              <w:szCs w:val="15"/>
                            </w:rPr>
                            <w:fldChar w:fldCharType="separate"/>
                          </w:r>
                          <w:r>
                            <w:rPr>
                              <w:rStyle w:val="24"/>
                              <w:sz w:val="15"/>
                              <w:szCs w:val="15"/>
                            </w:rPr>
                            <w:t>7</w:t>
                          </w:r>
                          <w:r>
                            <w:rPr>
                              <w:rStyle w:val="24"/>
                              <w:sz w:val="15"/>
                              <w:szCs w:val="15"/>
                            </w:rPr>
                            <w:fldChar w:fldCharType="end"/>
                          </w:r>
                          <w:r>
                            <w:rPr>
                              <w:sz w:val="15"/>
                              <w:szCs w:val="15"/>
                            </w:rPr>
                            <w:t xml:space="preserve"> 页</w:t>
                          </w:r>
                        </w:p>
                      </w:txbxContent>
                    </wps:txbx>
                    <wps:bodyPr vert="horz" wrap="square" lIns="0" tIns="0" rIns="0" bIns="0" anchor="t" upright="0">
                      <a:noAutofit/>
                    </wps:bodyPr>
                  </wps:wsp>
                </a:graphicData>
              </a:graphic>
            </wp:anchor>
          </w:drawing>
        </mc:Choice>
        <mc:Fallback>
          <w:pict>
            <v:shape id="_x0000_s1026" o:spid="_x0000_s1026" o:spt="202" type="#_x0000_t202" style="position:absolute;left:0pt;margin-left:105.05pt;margin-top:2.15pt;height:28.25pt;width:100.45pt;mso-position-horizontal-relative:margin;z-index:251659264;mso-width-relative:page;mso-height-relative:page;" filled="f" stroked="f" coordsize="21600,21600" o:gfxdata="UEsDBAoAAAAAAIdO4kAAAAAAAAAAAAAAAAAEAAAAZHJzL1BLAwQUAAAACACHTuJAiZR6L9cAAAAI&#10;AQAADwAAAGRycy9kb3ducmV2LnhtbE2PzU7DMBCE70i8g7VI3KjtUkUlZFMhBCckRBoOHJ3ETazG&#10;6xC7P7w9y4keRzOa+abYnP0ojnaOLhCCXigQltrQOeoRPuvXuzWImAx1ZgxkEX5shE15fVWYvAsn&#10;quxxm3rBJRRzgzCkNOVSxnaw3sRFmCyxtwuzN4nl3MtuNicu96NcKpVJbxzxwmAm+zzYdr89eISn&#10;L6pe3Pd781HtKlfXD4resj3i7Y1WjyCSPaf/MPzhMzqUzNSEA3VRjAhLrTRHEVb3INhfac3fGoRM&#10;rUGWhbw8UP4CUEsDBBQAAAAIAIdO4kAzwf1b7wEAANIDAAAOAAAAZHJzL2Uyb0RvYy54bWytU82O&#10;0zAQviPxDpbvNG1R6G7UdAWqFiEhQFp4ANexG0v+Y+w2KQ8Ab8CJC3eeq8/B2Gna1e5lD3tJxp6Z&#10;b+b7Zry86Y0mewFBOVvT2WRKibDcNcpua/rt6+2rK0pCZLZh2llR04MI9Gb18sWy85WYu9bpRgBB&#10;EBuqzte0jdFXRRF4KwwLE+eFRad0YFjEI2yLBliH6EYX8+n0TdE5aDw4LkLA2/XgpCdEeAqgk1Jx&#10;sXZ8Z4SNAyoIzSJSCq3yga5yt1IKHj9LGUQkuqbINOYvFkF7k77FasmqLTDfKn5qgT2lhQecDFMW&#10;i56h1iwysgP1CMooDi44GSfcmWIgkhVBFrPpA23uWuZF5oJSB38WPTwfLP+0/wJENTW9psQygwM/&#10;/v51/PPv+PcnuU7ydD5UGHXnMS7271yPSzPeB7xMrHsJJv2RD0E/ins4iyv6SHhKmi/KxaykhKPv&#10;dXm1WJQJprhkewjxvXCGJKOmgMPLmrL9xxCH0DEkFbPuVmmdB6gt6ZBBOS9zwj2PUVHAkKttyhJ5&#10;KU6AidvAIVmx3/QYmsyNaw7IF58JNtI6+EFJh0tS0/B9x0BQoj9YnELaqNGA0diMBrMcU2saKdl5&#10;UNs2b9/Q+ttddFJlVpd6qEY64KizLqe1TLt0/5yjLk9x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lHov1wAAAAgBAAAPAAAAAAAAAAEAIAAAACIAAABkcnMvZG93bnJldi54bWxQSwECFAAUAAAA&#10;CACHTuJAM8H9W+8BAADSAwAADgAAAAAAAAABACAAAAAmAQAAZHJzL2Uyb0RvYy54bWxQSwUGAAAA&#10;AAYABgBZAQAAhwUAAAAA&#10;">
              <v:fill on="f" focussize="0,0"/>
              <v:stroke on="f" joinstyle="miter"/>
              <v:imagedata o:title=""/>
              <o:lock v:ext="edit" aspectratio="f"/>
              <v:textbox inset="0mm,0mm,0mm,0mm">
                <w:txbxContent>
                  <w:p>
                    <w:pPr>
                      <w:pStyle w:val="15"/>
                      <w:spacing w:line="320" w:lineRule="atLeast"/>
                      <w:rPr>
                        <w:sz w:val="15"/>
                        <w:szCs w:val="15"/>
                      </w:rPr>
                    </w:pPr>
                    <w:r>
                      <w:rPr>
                        <w:sz w:val="15"/>
                        <w:szCs w:val="15"/>
                      </w:rPr>
                      <w:t xml:space="preserve">第 </w:t>
                    </w:r>
                    <w:r>
                      <w:rPr>
                        <w:rStyle w:val="24"/>
                        <w:sz w:val="15"/>
                        <w:szCs w:val="15"/>
                      </w:rPr>
                      <w:t xml:space="preserve"> </w:t>
                    </w:r>
                    <w:r>
                      <w:rPr>
                        <w:rStyle w:val="24"/>
                        <w:sz w:val="15"/>
                        <w:szCs w:val="15"/>
                      </w:rPr>
                      <w:fldChar w:fldCharType="begin"/>
                    </w:r>
                    <w:r>
                      <w:rPr>
                        <w:rStyle w:val="24"/>
                        <w:sz w:val="15"/>
                        <w:szCs w:val="15"/>
                      </w:rPr>
                      <w:instrText xml:space="preserve"> PAGE </w:instrText>
                    </w:r>
                    <w:r>
                      <w:rPr>
                        <w:rStyle w:val="24"/>
                        <w:sz w:val="15"/>
                        <w:szCs w:val="15"/>
                      </w:rPr>
                      <w:fldChar w:fldCharType="separate"/>
                    </w:r>
                    <w:r>
                      <w:rPr>
                        <w:rStyle w:val="24"/>
                        <w:sz w:val="15"/>
                        <w:szCs w:val="15"/>
                      </w:rPr>
                      <w:t>4</w:t>
                    </w:r>
                    <w:r>
                      <w:rPr>
                        <w:rStyle w:val="24"/>
                        <w:sz w:val="15"/>
                        <w:szCs w:val="15"/>
                      </w:rPr>
                      <w:fldChar w:fldCharType="end"/>
                    </w:r>
                    <w:r>
                      <w:rPr>
                        <w:rStyle w:val="24"/>
                        <w:sz w:val="15"/>
                        <w:szCs w:val="15"/>
                      </w:rPr>
                      <w:t xml:space="preserve">  </w:t>
                    </w:r>
                    <w:r>
                      <w:rPr>
                        <w:sz w:val="15"/>
                        <w:szCs w:val="15"/>
                      </w:rPr>
                      <w:t xml:space="preserve">页    共 </w:t>
                    </w:r>
                    <w:r>
                      <w:rPr>
                        <w:rStyle w:val="24"/>
                        <w:sz w:val="15"/>
                        <w:szCs w:val="15"/>
                      </w:rPr>
                      <w:fldChar w:fldCharType="begin"/>
                    </w:r>
                    <w:r>
                      <w:rPr>
                        <w:rStyle w:val="24"/>
                        <w:sz w:val="15"/>
                        <w:szCs w:val="15"/>
                      </w:rPr>
                      <w:instrText xml:space="preserve"> NUMPAGES </w:instrText>
                    </w:r>
                    <w:r>
                      <w:rPr>
                        <w:rStyle w:val="24"/>
                        <w:sz w:val="15"/>
                        <w:szCs w:val="15"/>
                      </w:rPr>
                      <w:fldChar w:fldCharType="separate"/>
                    </w:r>
                    <w:r>
                      <w:rPr>
                        <w:rStyle w:val="24"/>
                        <w:sz w:val="15"/>
                        <w:szCs w:val="15"/>
                      </w:rPr>
                      <w:t>7</w:t>
                    </w:r>
                    <w:r>
                      <w:rPr>
                        <w:rStyle w:val="24"/>
                        <w:sz w:val="15"/>
                        <w:szCs w:val="15"/>
                      </w:rPr>
                      <w:fldChar w:fldCharType="end"/>
                    </w:r>
                    <w:r>
                      <w:rPr>
                        <w:sz w:val="15"/>
                        <w:szCs w:val="15"/>
                      </w:rPr>
                      <w:t xml:space="preserve"> 页</w:t>
                    </w:r>
                  </w:p>
                </w:txbxContent>
              </v:textbox>
            </v:shape>
          </w:pict>
        </mc:Fallback>
      </mc:AlternateContent>
    </w:r>
  </w:p>
  <w:p>
    <w:pPr>
      <w:pStyle w:val="15"/>
      <w:spacing w:line="320" w:lineRule="atLeast"/>
      <w:ind w:firstLine="540" w:firstLineChars="300"/>
    </w:pPr>
    <w:r>
      <w:rPr>
        <w:rFonts w:hint="eastAsia"/>
      </w:rPr>
      <w:t xml:space="preserve">                                                                                                                 </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sz w:val="15"/>
        <w:szCs w:val="15"/>
      </w:rPr>
    </w:pPr>
    <w:r>
      <w:rPr>
        <w:rFonts w:hint="eastAsia"/>
        <w:sz w:val="15"/>
        <w:szCs w:val="15"/>
      </w:rPr>
      <w:t xml:space="preserve"> </w:t>
    </w:r>
  </w:p>
  <w:p>
    <w:pPr>
      <w:pStyle w:val="16"/>
      <w:jc w:val="both"/>
      <w:rPr>
        <w:sz w:val="15"/>
        <w:szCs w:val="15"/>
      </w:rPr>
    </w:pPr>
    <w:r>
      <w:rPr>
        <w:rFonts w:hint="eastAsia"/>
        <w:sz w:val="15"/>
        <w:szCs w:val="15"/>
      </w:rPr>
      <w:t>产品型号：</w:t>
    </w:r>
    <w:r>
      <w:rPr>
        <w:rFonts w:hint="eastAsia" w:ascii="宋体" w:hAnsi="宋体"/>
        <w:sz w:val="15"/>
        <w:szCs w:val="15"/>
      </w:rPr>
      <w:t xml:space="preserve">LXSY 远传直读冷水水表           </w:t>
    </w:r>
    <w:r>
      <w:rPr>
        <w:rFonts w:hint="eastAsia"/>
        <w:sz w:val="15"/>
        <w:szCs w:val="15"/>
      </w:rPr>
      <w:t xml:space="preserve">                 文件名称：使用说明书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C1BC4"/>
    <w:multiLevelType w:val="multilevel"/>
    <w:tmpl w:val="402C1BC4"/>
    <w:lvl w:ilvl="0" w:tentative="0">
      <w:start w:val="1"/>
      <w:numFmt w:val="decimal"/>
      <w:lvlText w:val="%1)"/>
      <w:lvlJc w:val="left"/>
      <w:pPr>
        <w:ind w:left="704" w:hanging="420"/>
      </w:pPr>
    </w:lvl>
    <w:lvl w:ilvl="1" w:tentative="0">
      <w:start w:val="1"/>
      <w:numFmt w:val="decimal"/>
      <w:lvlText w:val="%2)"/>
      <w:lvlJc w:val="left"/>
      <w:pPr>
        <w:ind w:left="704"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795804"/>
    <w:multiLevelType w:val="multilevel"/>
    <w:tmpl w:val="4D795804"/>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6CAC63DF"/>
    <w:multiLevelType w:val="multilevel"/>
    <w:tmpl w:val="6CAC63DF"/>
    <w:lvl w:ilvl="0" w:tentative="0">
      <w:start w:val="1"/>
      <w:numFmt w:val="bullet"/>
      <w:lvlText w:val=""/>
      <w:lvlJc w:val="left"/>
      <w:pPr>
        <w:ind w:left="840" w:hanging="420"/>
      </w:pPr>
      <w:rPr>
        <w:rFonts w:hint="default" w:ascii="Wingdings" w:hAnsi="Wingdings"/>
        <w:lang w:val="en-U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38"/>
    <w:rsid w:val="0000076C"/>
    <w:rsid w:val="00005B13"/>
    <w:rsid w:val="00005B16"/>
    <w:rsid w:val="000079AB"/>
    <w:rsid w:val="00010C3E"/>
    <w:rsid w:val="0001350C"/>
    <w:rsid w:val="00014192"/>
    <w:rsid w:val="000163A4"/>
    <w:rsid w:val="00017636"/>
    <w:rsid w:val="00023621"/>
    <w:rsid w:val="00024190"/>
    <w:rsid w:val="000246E8"/>
    <w:rsid w:val="000248BB"/>
    <w:rsid w:val="00024DFE"/>
    <w:rsid w:val="00025B26"/>
    <w:rsid w:val="000269A7"/>
    <w:rsid w:val="000269ED"/>
    <w:rsid w:val="00027C22"/>
    <w:rsid w:val="000301AB"/>
    <w:rsid w:val="000302DB"/>
    <w:rsid w:val="000302FB"/>
    <w:rsid w:val="000308FA"/>
    <w:rsid w:val="00030BED"/>
    <w:rsid w:val="000314ED"/>
    <w:rsid w:val="00032596"/>
    <w:rsid w:val="00033A51"/>
    <w:rsid w:val="00033DD5"/>
    <w:rsid w:val="00034F2B"/>
    <w:rsid w:val="00035A44"/>
    <w:rsid w:val="00036575"/>
    <w:rsid w:val="00036DF8"/>
    <w:rsid w:val="00036F16"/>
    <w:rsid w:val="000406BB"/>
    <w:rsid w:val="0004086B"/>
    <w:rsid w:val="000417ED"/>
    <w:rsid w:val="000420EC"/>
    <w:rsid w:val="00043736"/>
    <w:rsid w:val="00043EFE"/>
    <w:rsid w:val="000466DB"/>
    <w:rsid w:val="00046E9F"/>
    <w:rsid w:val="000504DF"/>
    <w:rsid w:val="000514E6"/>
    <w:rsid w:val="000527D9"/>
    <w:rsid w:val="000532BA"/>
    <w:rsid w:val="000533FA"/>
    <w:rsid w:val="0005445A"/>
    <w:rsid w:val="0005545B"/>
    <w:rsid w:val="00055C21"/>
    <w:rsid w:val="00057C1C"/>
    <w:rsid w:val="00060743"/>
    <w:rsid w:val="00062B6E"/>
    <w:rsid w:val="00062C56"/>
    <w:rsid w:val="00065A61"/>
    <w:rsid w:val="00065F8D"/>
    <w:rsid w:val="00072E90"/>
    <w:rsid w:val="000757E9"/>
    <w:rsid w:val="0008056B"/>
    <w:rsid w:val="00080CD8"/>
    <w:rsid w:val="000817BB"/>
    <w:rsid w:val="000817DB"/>
    <w:rsid w:val="00082A70"/>
    <w:rsid w:val="000849CF"/>
    <w:rsid w:val="0008676C"/>
    <w:rsid w:val="000872F4"/>
    <w:rsid w:val="00091960"/>
    <w:rsid w:val="0009344E"/>
    <w:rsid w:val="0009360F"/>
    <w:rsid w:val="000939F1"/>
    <w:rsid w:val="00093CE6"/>
    <w:rsid w:val="00093CF6"/>
    <w:rsid w:val="00094ECE"/>
    <w:rsid w:val="00094F27"/>
    <w:rsid w:val="00094F9D"/>
    <w:rsid w:val="0009503C"/>
    <w:rsid w:val="000957D1"/>
    <w:rsid w:val="00096373"/>
    <w:rsid w:val="000A06CA"/>
    <w:rsid w:val="000A0B09"/>
    <w:rsid w:val="000A1FD1"/>
    <w:rsid w:val="000A24E0"/>
    <w:rsid w:val="000A465D"/>
    <w:rsid w:val="000A50F6"/>
    <w:rsid w:val="000A6208"/>
    <w:rsid w:val="000A6461"/>
    <w:rsid w:val="000A6581"/>
    <w:rsid w:val="000B0154"/>
    <w:rsid w:val="000B34BE"/>
    <w:rsid w:val="000B4231"/>
    <w:rsid w:val="000B60D7"/>
    <w:rsid w:val="000B6988"/>
    <w:rsid w:val="000C0901"/>
    <w:rsid w:val="000C1417"/>
    <w:rsid w:val="000C22D1"/>
    <w:rsid w:val="000C6043"/>
    <w:rsid w:val="000C6B1E"/>
    <w:rsid w:val="000C78F4"/>
    <w:rsid w:val="000D1ECD"/>
    <w:rsid w:val="000D2BCE"/>
    <w:rsid w:val="000D2FE7"/>
    <w:rsid w:val="000D49A4"/>
    <w:rsid w:val="000D7A59"/>
    <w:rsid w:val="000D7B35"/>
    <w:rsid w:val="000E082E"/>
    <w:rsid w:val="000E15EC"/>
    <w:rsid w:val="000E1984"/>
    <w:rsid w:val="000E1A47"/>
    <w:rsid w:val="000E2A38"/>
    <w:rsid w:val="000E3A66"/>
    <w:rsid w:val="000E66AA"/>
    <w:rsid w:val="000E7A48"/>
    <w:rsid w:val="000F15A1"/>
    <w:rsid w:val="000F18CD"/>
    <w:rsid w:val="000F253D"/>
    <w:rsid w:val="000F4D27"/>
    <w:rsid w:val="000F54A3"/>
    <w:rsid w:val="001007DA"/>
    <w:rsid w:val="0010215B"/>
    <w:rsid w:val="00103C84"/>
    <w:rsid w:val="00110532"/>
    <w:rsid w:val="00110CC0"/>
    <w:rsid w:val="001134B0"/>
    <w:rsid w:val="00113DC4"/>
    <w:rsid w:val="001142B7"/>
    <w:rsid w:val="00117294"/>
    <w:rsid w:val="0011775F"/>
    <w:rsid w:val="001201A7"/>
    <w:rsid w:val="00122AC2"/>
    <w:rsid w:val="00123C76"/>
    <w:rsid w:val="00123E49"/>
    <w:rsid w:val="00126728"/>
    <w:rsid w:val="00132118"/>
    <w:rsid w:val="001323CB"/>
    <w:rsid w:val="0013443D"/>
    <w:rsid w:val="00134857"/>
    <w:rsid w:val="00135DFD"/>
    <w:rsid w:val="00136E4E"/>
    <w:rsid w:val="00143671"/>
    <w:rsid w:val="00144700"/>
    <w:rsid w:val="00145794"/>
    <w:rsid w:val="001510D2"/>
    <w:rsid w:val="00151BE7"/>
    <w:rsid w:val="00151D20"/>
    <w:rsid w:val="001530B3"/>
    <w:rsid w:val="00156E6F"/>
    <w:rsid w:val="001578AC"/>
    <w:rsid w:val="00157A91"/>
    <w:rsid w:val="00162690"/>
    <w:rsid w:val="00163488"/>
    <w:rsid w:val="00164296"/>
    <w:rsid w:val="00164724"/>
    <w:rsid w:val="0016472E"/>
    <w:rsid w:val="001668D2"/>
    <w:rsid w:val="00171094"/>
    <w:rsid w:val="00172B0A"/>
    <w:rsid w:val="00173BD5"/>
    <w:rsid w:val="0018071D"/>
    <w:rsid w:val="00180A81"/>
    <w:rsid w:val="0018231D"/>
    <w:rsid w:val="001829FA"/>
    <w:rsid w:val="0018338F"/>
    <w:rsid w:val="0018399D"/>
    <w:rsid w:val="001843F6"/>
    <w:rsid w:val="00185425"/>
    <w:rsid w:val="00187984"/>
    <w:rsid w:val="00190D22"/>
    <w:rsid w:val="00191919"/>
    <w:rsid w:val="0019316E"/>
    <w:rsid w:val="00193F79"/>
    <w:rsid w:val="001948CD"/>
    <w:rsid w:val="00194EE2"/>
    <w:rsid w:val="001966BF"/>
    <w:rsid w:val="00196F29"/>
    <w:rsid w:val="001A316A"/>
    <w:rsid w:val="001A470B"/>
    <w:rsid w:val="001A4DFF"/>
    <w:rsid w:val="001A7A87"/>
    <w:rsid w:val="001B1DAA"/>
    <w:rsid w:val="001B293C"/>
    <w:rsid w:val="001B3449"/>
    <w:rsid w:val="001B65DF"/>
    <w:rsid w:val="001C3257"/>
    <w:rsid w:val="001C3C32"/>
    <w:rsid w:val="001C51F6"/>
    <w:rsid w:val="001D07AB"/>
    <w:rsid w:val="001D0D48"/>
    <w:rsid w:val="001D296A"/>
    <w:rsid w:val="001D3438"/>
    <w:rsid w:val="001D3C96"/>
    <w:rsid w:val="001D5ECA"/>
    <w:rsid w:val="001D7DA8"/>
    <w:rsid w:val="001E17E8"/>
    <w:rsid w:val="001E365D"/>
    <w:rsid w:val="001E4962"/>
    <w:rsid w:val="001E574A"/>
    <w:rsid w:val="001E7905"/>
    <w:rsid w:val="001E7C81"/>
    <w:rsid w:val="001F0461"/>
    <w:rsid w:val="001F047A"/>
    <w:rsid w:val="001F2043"/>
    <w:rsid w:val="001F3BB7"/>
    <w:rsid w:val="001F44E4"/>
    <w:rsid w:val="001F7DBF"/>
    <w:rsid w:val="001F7E74"/>
    <w:rsid w:val="00201577"/>
    <w:rsid w:val="00201E5B"/>
    <w:rsid w:val="00202D1B"/>
    <w:rsid w:val="00202FC4"/>
    <w:rsid w:val="0020542A"/>
    <w:rsid w:val="00207520"/>
    <w:rsid w:val="00210B67"/>
    <w:rsid w:val="00210F13"/>
    <w:rsid w:val="00213C55"/>
    <w:rsid w:val="00214816"/>
    <w:rsid w:val="00214D05"/>
    <w:rsid w:val="00216425"/>
    <w:rsid w:val="00216CF1"/>
    <w:rsid w:val="00220A2F"/>
    <w:rsid w:val="002212FD"/>
    <w:rsid w:val="002216F1"/>
    <w:rsid w:val="002224AB"/>
    <w:rsid w:val="0022331E"/>
    <w:rsid w:val="002255CD"/>
    <w:rsid w:val="00231BBB"/>
    <w:rsid w:val="00232C98"/>
    <w:rsid w:val="002346D8"/>
    <w:rsid w:val="00235280"/>
    <w:rsid w:val="00237801"/>
    <w:rsid w:val="0024310B"/>
    <w:rsid w:val="002431B3"/>
    <w:rsid w:val="00244EC7"/>
    <w:rsid w:val="00250A82"/>
    <w:rsid w:val="00251C4F"/>
    <w:rsid w:val="00252209"/>
    <w:rsid w:val="002532F8"/>
    <w:rsid w:val="00253F30"/>
    <w:rsid w:val="00255098"/>
    <w:rsid w:val="00255370"/>
    <w:rsid w:val="00255A59"/>
    <w:rsid w:val="00255EEE"/>
    <w:rsid w:val="002604CF"/>
    <w:rsid w:val="00260529"/>
    <w:rsid w:val="00262E33"/>
    <w:rsid w:val="00262FA1"/>
    <w:rsid w:val="002649E1"/>
    <w:rsid w:val="00264DE0"/>
    <w:rsid w:val="002653F7"/>
    <w:rsid w:val="00265965"/>
    <w:rsid w:val="002712E4"/>
    <w:rsid w:val="00272BEE"/>
    <w:rsid w:val="00274CCD"/>
    <w:rsid w:val="00274FC1"/>
    <w:rsid w:val="00275D0A"/>
    <w:rsid w:val="00275F79"/>
    <w:rsid w:val="002760A9"/>
    <w:rsid w:val="00276465"/>
    <w:rsid w:val="00277D06"/>
    <w:rsid w:val="00283486"/>
    <w:rsid w:val="0028494F"/>
    <w:rsid w:val="00285127"/>
    <w:rsid w:val="002874B6"/>
    <w:rsid w:val="00287B28"/>
    <w:rsid w:val="00287CFF"/>
    <w:rsid w:val="00290279"/>
    <w:rsid w:val="00292C6C"/>
    <w:rsid w:val="00293B6E"/>
    <w:rsid w:val="00294E32"/>
    <w:rsid w:val="00296841"/>
    <w:rsid w:val="0029729B"/>
    <w:rsid w:val="002973D2"/>
    <w:rsid w:val="002A1051"/>
    <w:rsid w:val="002A152F"/>
    <w:rsid w:val="002A319A"/>
    <w:rsid w:val="002A3E58"/>
    <w:rsid w:val="002A597D"/>
    <w:rsid w:val="002A76A8"/>
    <w:rsid w:val="002B163A"/>
    <w:rsid w:val="002B1E63"/>
    <w:rsid w:val="002B1FDC"/>
    <w:rsid w:val="002B40B1"/>
    <w:rsid w:val="002B6EB5"/>
    <w:rsid w:val="002B79C4"/>
    <w:rsid w:val="002B7C8A"/>
    <w:rsid w:val="002C4CD5"/>
    <w:rsid w:val="002C4DA2"/>
    <w:rsid w:val="002C4F57"/>
    <w:rsid w:val="002C5939"/>
    <w:rsid w:val="002C5CFC"/>
    <w:rsid w:val="002C5E50"/>
    <w:rsid w:val="002C6881"/>
    <w:rsid w:val="002C7E5B"/>
    <w:rsid w:val="002D36C0"/>
    <w:rsid w:val="002D3883"/>
    <w:rsid w:val="002D58C2"/>
    <w:rsid w:val="002D6790"/>
    <w:rsid w:val="002D67B0"/>
    <w:rsid w:val="002E1B71"/>
    <w:rsid w:val="002E3CAC"/>
    <w:rsid w:val="002E4EDF"/>
    <w:rsid w:val="002E6089"/>
    <w:rsid w:val="002E7549"/>
    <w:rsid w:val="002E76F0"/>
    <w:rsid w:val="002E7B55"/>
    <w:rsid w:val="002F0181"/>
    <w:rsid w:val="002F0200"/>
    <w:rsid w:val="002F13FA"/>
    <w:rsid w:val="002F1E83"/>
    <w:rsid w:val="002F3D73"/>
    <w:rsid w:val="002F4B29"/>
    <w:rsid w:val="002F4F73"/>
    <w:rsid w:val="002F7569"/>
    <w:rsid w:val="002F77CC"/>
    <w:rsid w:val="00300571"/>
    <w:rsid w:val="00301202"/>
    <w:rsid w:val="003014E3"/>
    <w:rsid w:val="0030185B"/>
    <w:rsid w:val="00301BCA"/>
    <w:rsid w:val="00302BB8"/>
    <w:rsid w:val="00304696"/>
    <w:rsid w:val="003071C5"/>
    <w:rsid w:val="00310040"/>
    <w:rsid w:val="00311100"/>
    <w:rsid w:val="003167A8"/>
    <w:rsid w:val="0031767B"/>
    <w:rsid w:val="003178AC"/>
    <w:rsid w:val="0032155C"/>
    <w:rsid w:val="00324E7F"/>
    <w:rsid w:val="00325621"/>
    <w:rsid w:val="00326D17"/>
    <w:rsid w:val="00327520"/>
    <w:rsid w:val="00327613"/>
    <w:rsid w:val="00330E18"/>
    <w:rsid w:val="00331FD8"/>
    <w:rsid w:val="00335371"/>
    <w:rsid w:val="00335D51"/>
    <w:rsid w:val="00336005"/>
    <w:rsid w:val="003421EF"/>
    <w:rsid w:val="003424EC"/>
    <w:rsid w:val="00342594"/>
    <w:rsid w:val="00342AE5"/>
    <w:rsid w:val="00344555"/>
    <w:rsid w:val="003460C3"/>
    <w:rsid w:val="00346F33"/>
    <w:rsid w:val="00346F4C"/>
    <w:rsid w:val="0034788C"/>
    <w:rsid w:val="00351062"/>
    <w:rsid w:val="00351229"/>
    <w:rsid w:val="003512C1"/>
    <w:rsid w:val="00351B9D"/>
    <w:rsid w:val="00352116"/>
    <w:rsid w:val="00353021"/>
    <w:rsid w:val="00357E4F"/>
    <w:rsid w:val="00361256"/>
    <w:rsid w:val="003615B2"/>
    <w:rsid w:val="00362D92"/>
    <w:rsid w:val="00363E4B"/>
    <w:rsid w:val="00363E65"/>
    <w:rsid w:val="00364EA4"/>
    <w:rsid w:val="003651F3"/>
    <w:rsid w:val="0036551E"/>
    <w:rsid w:val="003719C2"/>
    <w:rsid w:val="0037396C"/>
    <w:rsid w:val="00374237"/>
    <w:rsid w:val="0037451A"/>
    <w:rsid w:val="00374C8B"/>
    <w:rsid w:val="003759F9"/>
    <w:rsid w:val="003777A5"/>
    <w:rsid w:val="003779BE"/>
    <w:rsid w:val="0038056B"/>
    <w:rsid w:val="003805EB"/>
    <w:rsid w:val="00384EAF"/>
    <w:rsid w:val="0038657E"/>
    <w:rsid w:val="003865B5"/>
    <w:rsid w:val="0038668A"/>
    <w:rsid w:val="00390341"/>
    <w:rsid w:val="00390F18"/>
    <w:rsid w:val="00391E45"/>
    <w:rsid w:val="00392124"/>
    <w:rsid w:val="00392DF7"/>
    <w:rsid w:val="00393004"/>
    <w:rsid w:val="0039311E"/>
    <w:rsid w:val="003935EC"/>
    <w:rsid w:val="00393B81"/>
    <w:rsid w:val="00396358"/>
    <w:rsid w:val="0039637E"/>
    <w:rsid w:val="003A0538"/>
    <w:rsid w:val="003A0969"/>
    <w:rsid w:val="003A0FFC"/>
    <w:rsid w:val="003A20E4"/>
    <w:rsid w:val="003A3500"/>
    <w:rsid w:val="003A4906"/>
    <w:rsid w:val="003A4B6C"/>
    <w:rsid w:val="003B010F"/>
    <w:rsid w:val="003B0EC2"/>
    <w:rsid w:val="003B1226"/>
    <w:rsid w:val="003B1352"/>
    <w:rsid w:val="003B25DC"/>
    <w:rsid w:val="003B357E"/>
    <w:rsid w:val="003B4062"/>
    <w:rsid w:val="003B52C7"/>
    <w:rsid w:val="003C02D5"/>
    <w:rsid w:val="003C0AE9"/>
    <w:rsid w:val="003C30B3"/>
    <w:rsid w:val="003C3A11"/>
    <w:rsid w:val="003C48CB"/>
    <w:rsid w:val="003C6355"/>
    <w:rsid w:val="003C716C"/>
    <w:rsid w:val="003D1D59"/>
    <w:rsid w:val="003D5E4D"/>
    <w:rsid w:val="003D6019"/>
    <w:rsid w:val="003D6B15"/>
    <w:rsid w:val="003E194A"/>
    <w:rsid w:val="003E4D1A"/>
    <w:rsid w:val="003E5002"/>
    <w:rsid w:val="003E6562"/>
    <w:rsid w:val="003E7168"/>
    <w:rsid w:val="003F1E33"/>
    <w:rsid w:val="003F1FB4"/>
    <w:rsid w:val="003F3132"/>
    <w:rsid w:val="003F4C0B"/>
    <w:rsid w:val="003F7286"/>
    <w:rsid w:val="00403026"/>
    <w:rsid w:val="00404C11"/>
    <w:rsid w:val="00404CBE"/>
    <w:rsid w:val="00405504"/>
    <w:rsid w:val="0040554A"/>
    <w:rsid w:val="0040609C"/>
    <w:rsid w:val="00412052"/>
    <w:rsid w:val="004133C1"/>
    <w:rsid w:val="00413CFD"/>
    <w:rsid w:val="00414D7C"/>
    <w:rsid w:val="00416744"/>
    <w:rsid w:val="004170AE"/>
    <w:rsid w:val="00420DB3"/>
    <w:rsid w:val="00423606"/>
    <w:rsid w:val="00424510"/>
    <w:rsid w:val="004258A1"/>
    <w:rsid w:val="00426C8B"/>
    <w:rsid w:val="004270DC"/>
    <w:rsid w:val="004300E3"/>
    <w:rsid w:val="0043107F"/>
    <w:rsid w:val="004334C4"/>
    <w:rsid w:val="00433965"/>
    <w:rsid w:val="00434470"/>
    <w:rsid w:val="004364EE"/>
    <w:rsid w:val="00437F44"/>
    <w:rsid w:val="004400E5"/>
    <w:rsid w:val="00440752"/>
    <w:rsid w:val="004427D0"/>
    <w:rsid w:val="00442F4B"/>
    <w:rsid w:val="0044372F"/>
    <w:rsid w:val="004437C6"/>
    <w:rsid w:val="00443DA8"/>
    <w:rsid w:val="004451FE"/>
    <w:rsid w:val="00446631"/>
    <w:rsid w:val="00446E13"/>
    <w:rsid w:val="004470C1"/>
    <w:rsid w:val="004476A0"/>
    <w:rsid w:val="00450339"/>
    <w:rsid w:val="00453340"/>
    <w:rsid w:val="0045365D"/>
    <w:rsid w:val="0045367C"/>
    <w:rsid w:val="00453E04"/>
    <w:rsid w:val="004548A6"/>
    <w:rsid w:val="00455E8F"/>
    <w:rsid w:val="00456154"/>
    <w:rsid w:val="00456C61"/>
    <w:rsid w:val="00460067"/>
    <w:rsid w:val="004633F3"/>
    <w:rsid w:val="00465B29"/>
    <w:rsid w:val="00466D75"/>
    <w:rsid w:val="00467FE9"/>
    <w:rsid w:val="00472C90"/>
    <w:rsid w:val="00473D46"/>
    <w:rsid w:val="00474898"/>
    <w:rsid w:val="004764AF"/>
    <w:rsid w:val="00480577"/>
    <w:rsid w:val="00481DA6"/>
    <w:rsid w:val="0048216C"/>
    <w:rsid w:val="00482353"/>
    <w:rsid w:val="00482B32"/>
    <w:rsid w:val="0048447D"/>
    <w:rsid w:val="00486051"/>
    <w:rsid w:val="00486083"/>
    <w:rsid w:val="00486823"/>
    <w:rsid w:val="00487454"/>
    <w:rsid w:val="004876D9"/>
    <w:rsid w:val="00490090"/>
    <w:rsid w:val="00490D19"/>
    <w:rsid w:val="00492153"/>
    <w:rsid w:val="0049300A"/>
    <w:rsid w:val="00493E46"/>
    <w:rsid w:val="00494E30"/>
    <w:rsid w:val="0049508D"/>
    <w:rsid w:val="0049535B"/>
    <w:rsid w:val="00495EB7"/>
    <w:rsid w:val="004A06DD"/>
    <w:rsid w:val="004A4926"/>
    <w:rsid w:val="004A4BE7"/>
    <w:rsid w:val="004A61D5"/>
    <w:rsid w:val="004B2520"/>
    <w:rsid w:val="004B521E"/>
    <w:rsid w:val="004B59E2"/>
    <w:rsid w:val="004B6DCB"/>
    <w:rsid w:val="004B710D"/>
    <w:rsid w:val="004B7156"/>
    <w:rsid w:val="004B795B"/>
    <w:rsid w:val="004B7F60"/>
    <w:rsid w:val="004C0D1B"/>
    <w:rsid w:val="004C1627"/>
    <w:rsid w:val="004C17DA"/>
    <w:rsid w:val="004C1C6D"/>
    <w:rsid w:val="004C2565"/>
    <w:rsid w:val="004C3E78"/>
    <w:rsid w:val="004C4BF6"/>
    <w:rsid w:val="004C4CE1"/>
    <w:rsid w:val="004C4FAA"/>
    <w:rsid w:val="004C7609"/>
    <w:rsid w:val="004D0045"/>
    <w:rsid w:val="004D1FE0"/>
    <w:rsid w:val="004D2691"/>
    <w:rsid w:val="004D2C99"/>
    <w:rsid w:val="004D619A"/>
    <w:rsid w:val="004D7D5C"/>
    <w:rsid w:val="004E4E3A"/>
    <w:rsid w:val="004E5665"/>
    <w:rsid w:val="004F1C9C"/>
    <w:rsid w:val="004F21F2"/>
    <w:rsid w:val="004F6926"/>
    <w:rsid w:val="004F6CA8"/>
    <w:rsid w:val="004F701E"/>
    <w:rsid w:val="004F70FF"/>
    <w:rsid w:val="00501B70"/>
    <w:rsid w:val="0050232B"/>
    <w:rsid w:val="0050280A"/>
    <w:rsid w:val="00503D75"/>
    <w:rsid w:val="005058E3"/>
    <w:rsid w:val="005065BC"/>
    <w:rsid w:val="005113E1"/>
    <w:rsid w:val="00511EC9"/>
    <w:rsid w:val="00513087"/>
    <w:rsid w:val="00513EF1"/>
    <w:rsid w:val="00515C11"/>
    <w:rsid w:val="005215C6"/>
    <w:rsid w:val="005219D8"/>
    <w:rsid w:val="00521D53"/>
    <w:rsid w:val="00521FF9"/>
    <w:rsid w:val="005229D4"/>
    <w:rsid w:val="00523BBF"/>
    <w:rsid w:val="005330DB"/>
    <w:rsid w:val="0053482B"/>
    <w:rsid w:val="00535137"/>
    <w:rsid w:val="00536895"/>
    <w:rsid w:val="00536BEC"/>
    <w:rsid w:val="0054050E"/>
    <w:rsid w:val="005407CA"/>
    <w:rsid w:val="00541D42"/>
    <w:rsid w:val="00542A2B"/>
    <w:rsid w:val="00544104"/>
    <w:rsid w:val="005448E4"/>
    <w:rsid w:val="005473DE"/>
    <w:rsid w:val="00547E82"/>
    <w:rsid w:val="00551186"/>
    <w:rsid w:val="00551BB6"/>
    <w:rsid w:val="005537D8"/>
    <w:rsid w:val="00554E68"/>
    <w:rsid w:val="005573F1"/>
    <w:rsid w:val="005625B8"/>
    <w:rsid w:val="00563D21"/>
    <w:rsid w:val="00564D84"/>
    <w:rsid w:val="00567466"/>
    <w:rsid w:val="00567650"/>
    <w:rsid w:val="00570A68"/>
    <w:rsid w:val="00571313"/>
    <w:rsid w:val="00571520"/>
    <w:rsid w:val="005731BD"/>
    <w:rsid w:val="0057462A"/>
    <w:rsid w:val="005751B3"/>
    <w:rsid w:val="00576530"/>
    <w:rsid w:val="005772B9"/>
    <w:rsid w:val="0057742F"/>
    <w:rsid w:val="00580A59"/>
    <w:rsid w:val="005820CF"/>
    <w:rsid w:val="0058224E"/>
    <w:rsid w:val="0058504A"/>
    <w:rsid w:val="00585782"/>
    <w:rsid w:val="005872C2"/>
    <w:rsid w:val="00592537"/>
    <w:rsid w:val="00592EEF"/>
    <w:rsid w:val="0059334B"/>
    <w:rsid w:val="00593614"/>
    <w:rsid w:val="00594C10"/>
    <w:rsid w:val="005962AD"/>
    <w:rsid w:val="00596CE4"/>
    <w:rsid w:val="005A007E"/>
    <w:rsid w:val="005A0756"/>
    <w:rsid w:val="005A402D"/>
    <w:rsid w:val="005A41C2"/>
    <w:rsid w:val="005A50DF"/>
    <w:rsid w:val="005A7180"/>
    <w:rsid w:val="005A750B"/>
    <w:rsid w:val="005A781A"/>
    <w:rsid w:val="005B1423"/>
    <w:rsid w:val="005B208A"/>
    <w:rsid w:val="005B51E8"/>
    <w:rsid w:val="005C0E56"/>
    <w:rsid w:val="005C2A4D"/>
    <w:rsid w:val="005C36C9"/>
    <w:rsid w:val="005C41E3"/>
    <w:rsid w:val="005C67BC"/>
    <w:rsid w:val="005D0C79"/>
    <w:rsid w:val="005D0E1D"/>
    <w:rsid w:val="005D2209"/>
    <w:rsid w:val="005D2686"/>
    <w:rsid w:val="005D2B2E"/>
    <w:rsid w:val="005D3014"/>
    <w:rsid w:val="005D3CE9"/>
    <w:rsid w:val="005D4603"/>
    <w:rsid w:val="005D61F6"/>
    <w:rsid w:val="005D6BDE"/>
    <w:rsid w:val="005D6D39"/>
    <w:rsid w:val="005D7AF3"/>
    <w:rsid w:val="005D7D4C"/>
    <w:rsid w:val="005D7E73"/>
    <w:rsid w:val="005D7FC4"/>
    <w:rsid w:val="005E2DF7"/>
    <w:rsid w:val="005E331D"/>
    <w:rsid w:val="005E4624"/>
    <w:rsid w:val="005E4C19"/>
    <w:rsid w:val="005E5FC4"/>
    <w:rsid w:val="005E6C28"/>
    <w:rsid w:val="005E6CE9"/>
    <w:rsid w:val="005E6F14"/>
    <w:rsid w:val="005F3912"/>
    <w:rsid w:val="005F3FDD"/>
    <w:rsid w:val="005F46BE"/>
    <w:rsid w:val="005F4BA1"/>
    <w:rsid w:val="005F4D90"/>
    <w:rsid w:val="005F6547"/>
    <w:rsid w:val="005F6784"/>
    <w:rsid w:val="005F7D20"/>
    <w:rsid w:val="00602442"/>
    <w:rsid w:val="006032D2"/>
    <w:rsid w:val="006039A1"/>
    <w:rsid w:val="006044FF"/>
    <w:rsid w:val="00605103"/>
    <w:rsid w:val="0060622A"/>
    <w:rsid w:val="00606EC6"/>
    <w:rsid w:val="00610CE7"/>
    <w:rsid w:val="006137B0"/>
    <w:rsid w:val="00616C6F"/>
    <w:rsid w:val="00616EEB"/>
    <w:rsid w:val="006201ED"/>
    <w:rsid w:val="00620308"/>
    <w:rsid w:val="006211F3"/>
    <w:rsid w:val="00622207"/>
    <w:rsid w:val="00624280"/>
    <w:rsid w:val="0062498D"/>
    <w:rsid w:val="006260D1"/>
    <w:rsid w:val="00627DCC"/>
    <w:rsid w:val="0063087F"/>
    <w:rsid w:val="00631B09"/>
    <w:rsid w:val="00632882"/>
    <w:rsid w:val="00633C31"/>
    <w:rsid w:val="00633D0B"/>
    <w:rsid w:val="00634415"/>
    <w:rsid w:val="006357BB"/>
    <w:rsid w:val="00635BCE"/>
    <w:rsid w:val="00636B31"/>
    <w:rsid w:val="00637385"/>
    <w:rsid w:val="00637A66"/>
    <w:rsid w:val="00640364"/>
    <w:rsid w:val="00640BF3"/>
    <w:rsid w:val="00641E34"/>
    <w:rsid w:val="006423BE"/>
    <w:rsid w:val="00643BA8"/>
    <w:rsid w:val="00646160"/>
    <w:rsid w:val="00646A4D"/>
    <w:rsid w:val="00647019"/>
    <w:rsid w:val="00650A96"/>
    <w:rsid w:val="00652F0D"/>
    <w:rsid w:val="00655274"/>
    <w:rsid w:val="006622F7"/>
    <w:rsid w:val="00662FD0"/>
    <w:rsid w:val="006638BC"/>
    <w:rsid w:val="0066647F"/>
    <w:rsid w:val="0066696E"/>
    <w:rsid w:val="00670713"/>
    <w:rsid w:val="0067090C"/>
    <w:rsid w:val="00671630"/>
    <w:rsid w:val="00671FE5"/>
    <w:rsid w:val="00673D76"/>
    <w:rsid w:val="00674197"/>
    <w:rsid w:val="006758FB"/>
    <w:rsid w:val="006770FA"/>
    <w:rsid w:val="0067760E"/>
    <w:rsid w:val="006779F6"/>
    <w:rsid w:val="00677D4C"/>
    <w:rsid w:val="0068033E"/>
    <w:rsid w:val="00682F2E"/>
    <w:rsid w:val="006837D6"/>
    <w:rsid w:val="0068563A"/>
    <w:rsid w:val="00685FFD"/>
    <w:rsid w:val="00686A82"/>
    <w:rsid w:val="0068739B"/>
    <w:rsid w:val="006878FD"/>
    <w:rsid w:val="006908DB"/>
    <w:rsid w:val="00690CEB"/>
    <w:rsid w:val="00691A03"/>
    <w:rsid w:val="006928D9"/>
    <w:rsid w:val="006960CD"/>
    <w:rsid w:val="00696134"/>
    <w:rsid w:val="00696E27"/>
    <w:rsid w:val="00697296"/>
    <w:rsid w:val="006A0BBB"/>
    <w:rsid w:val="006B0807"/>
    <w:rsid w:val="006B1EF2"/>
    <w:rsid w:val="006B29B7"/>
    <w:rsid w:val="006B402F"/>
    <w:rsid w:val="006B416E"/>
    <w:rsid w:val="006B4D75"/>
    <w:rsid w:val="006B605F"/>
    <w:rsid w:val="006B6656"/>
    <w:rsid w:val="006B6B4B"/>
    <w:rsid w:val="006C0539"/>
    <w:rsid w:val="006C2A37"/>
    <w:rsid w:val="006C2B50"/>
    <w:rsid w:val="006C35C7"/>
    <w:rsid w:val="006C4C4F"/>
    <w:rsid w:val="006C6D8C"/>
    <w:rsid w:val="006D4E45"/>
    <w:rsid w:val="006E0091"/>
    <w:rsid w:val="006E03BF"/>
    <w:rsid w:val="006E6004"/>
    <w:rsid w:val="006E7217"/>
    <w:rsid w:val="006F004E"/>
    <w:rsid w:val="006F779B"/>
    <w:rsid w:val="0070374C"/>
    <w:rsid w:val="00703C58"/>
    <w:rsid w:val="00704BBA"/>
    <w:rsid w:val="0070538B"/>
    <w:rsid w:val="007053F7"/>
    <w:rsid w:val="00705D1E"/>
    <w:rsid w:val="00707D24"/>
    <w:rsid w:val="0071068E"/>
    <w:rsid w:val="00712B9D"/>
    <w:rsid w:val="007141F7"/>
    <w:rsid w:val="0071569A"/>
    <w:rsid w:val="00716104"/>
    <w:rsid w:val="0071734B"/>
    <w:rsid w:val="00721185"/>
    <w:rsid w:val="007213E0"/>
    <w:rsid w:val="007221F1"/>
    <w:rsid w:val="00724199"/>
    <w:rsid w:val="00725754"/>
    <w:rsid w:val="00725ADD"/>
    <w:rsid w:val="007261FA"/>
    <w:rsid w:val="007275C0"/>
    <w:rsid w:val="00731AA9"/>
    <w:rsid w:val="00731D17"/>
    <w:rsid w:val="00735654"/>
    <w:rsid w:val="007368D6"/>
    <w:rsid w:val="00737C61"/>
    <w:rsid w:val="00737FD0"/>
    <w:rsid w:val="00740F8B"/>
    <w:rsid w:val="00743772"/>
    <w:rsid w:val="00743E6D"/>
    <w:rsid w:val="00747BC7"/>
    <w:rsid w:val="00751485"/>
    <w:rsid w:val="00755E30"/>
    <w:rsid w:val="00760B79"/>
    <w:rsid w:val="00761566"/>
    <w:rsid w:val="0076241F"/>
    <w:rsid w:val="00762A1C"/>
    <w:rsid w:val="00762B52"/>
    <w:rsid w:val="0076386F"/>
    <w:rsid w:val="00764379"/>
    <w:rsid w:val="00764F70"/>
    <w:rsid w:val="00766108"/>
    <w:rsid w:val="0077047B"/>
    <w:rsid w:val="00772D64"/>
    <w:rsid w:val="00773854"/>
    <w:rsid w:val="0077634C"/>
    <w:rsid w:val="0078038E"/>
    <w:rsid w:val="00780C8F"/>
    <w:rsid w:val="007845EB"/>
    <w:rsid w:val="00786742"/>
    <w:rsid w:val="00790D7F"/>
    <w:rsid w:val="00790EDB"/>
    <w:rsid w:val="0079165D"/>
    <w:rsid w:val="0079192B"/>
    <w:rsid w:val="00792339"/>
    <w:rsid w:val="00796D87"/>
    <w:rsid w:val="007A1817"/>
    <w:rsid w:val="007A2DC9"/>
    <w:rsid w:val="007A486C"/>
    <w:rsid w:val="007A4A65"/>
    <w:rsid w:val="007A5472"/>
    <w:rsid w:val="007A5D44"/>
    <w:rsid w:val="007B0C71"/>
    <w:rsid w:val="007B184A"/>
    <w:rsid w:val="007B2872"/>
    <w:rsid w:val="007B2ADD"/>
    <w:rsid w:val="007B4250"/>
    <w:rsid w:val="007B56FC"/>
    <w:rsid w:val="007B7BA2"/>
    <w:rsid w:val="007C18B0"/>
    <w:rsid w:val="007C19EA"/>
    <w:rsid w:val="007C22B9"/>
    <w:rsid w:val="007C2589"/>
    <w:rsid w:val="007C567E"/>
    <w:rsid w:val="007D3504"/>
    <w:rsid w:val="007D3C55"/>
    <w:rsid w:val="007D3CAB"/>
    <w:rsid w:val="007E0082"/>
    <w:rsid w:val="007E11BC"/>
    <w:rsid w:val="007E13D2"/>
    <w:rsid w:val="007E2ED8"/>
    <w:rsid w:val="007E31D5"/>
    <w:rsid w:val="007E35AF"/>
    <w:rsid w:val="007E6AAA"/>
    <w:rsid w:val="007F0707"/>
    <w:rsid w:val="007F5372"/>
    <w:rsid w:val="007F5BF4"/>
    <w:rsid w:val="007F6391"/>
    <w:rsid w:val="007F6F9E"/>
    <w:rsid w:val="007F7144"/>
    <w:rsid w:val="008002C5"/>
    <w:rsid w:val="00800B9D"/>
    <w:rsid w:val="00801C63"/>
    <w:rsid w:val="008041C7"/>
    <w:rsid w:val="00805B75"/>
    <w:rsid w:val="00806B68"/>
    <w:rsid w:val="00806DBA"/>
    <w:rsid w:val="00810E41"/>
    <w:rsid w:val="00811E5B"/>
    <w:rsid w:val="0081355B"/>
    <w:rsid w:val="0081378F"/>
    <w:rsid w:val="008141DD"/>
    <w:rsid w:val="0081425C"/>
    <w:rsid w:val="00814D7F"/>
    <w:rsid w:val="0081588D"/>
    <w:rsid w:val="00816378"/>
    <w:rsid w:val="0082111A"/>
    <w:rsid w:val="008224B4"/>
    <w:rsid w:val="0082331B"/>
    <w:rsid w:val="00823752"/>
    <w:rsid w:val="008247D8"/>
    <w:rsid w:val="00825098"/>
    <w:rsid w:val="0082552F"/>
    <w:rsid w:val="00831F68"/>
    <w:rsid w:val="00832A5A"/>
    <w:rsid w:val="00832FB5"/>
    <w:rsid w:val="00833A8D"/>
    <w:rsid w:val="00833B7B"/>
    <w:rsid w:val="00834806"/>
    <w:rsid w:val="00836774"/>
    <w:rsid w:val="008405EB"/>
    <w:rsid w:val="00840822"/>
    <w:rsid w:val="00840D21"/>
    <w:rsid w:val="00841FD4"/>
    <w:rsid w:val="0084472C"/>
    <w:rsid w:val="008467A5"/>
    <w:rsid w:val="00850035"/>
    <w:rsid w:val="00850F59"/>
    <w:rsid w:val="00851861"/>
    <w:rsid w:val="008537E4"/>
    <w:rsid w:val="0085796D"/>
    <w:rsid w:val="00857A97"/>
    <w:rsid w:val="00857F4F"/>
    <w:rsid w:val="00862D86"/>
    <w:rsid w:val="00863437"/>
    <w:rsid w:val="00863DD0"/>
    <w:rsid w:val="00864A32"/>
    <w:rsid w:val="00867BE3"/>
    <w:rsid w:val="00874EE1"/>
    <w:rsid w:val="008766F0"/>
    <w:rsid w:val="00876B8D"/>
    <w:rsid w:val="00876E15"/>
    <w:rsid w:val="00880A8D"/>
    <w:rsid w:val="00880F85"/>
    <w:rsid w:val="008815F5"/>
    <w:rsid w:val="00882545"/>
    <w:rsid w:val="008832AA"/>
    <w:rsid w:val="00883469"/>
    <w:rsid w:val="00885185"/>
    <w:rsid w:val="00885D81"/>
    <w:rsid w:val="00886211"/>
    <w:rsid w:val="00887099"/>
    <w:rsid w:val="0089101C"/>
    <w:rsid w:val="0089167F"/>
    <w:rsid w:val="00892726"/>
    <w:rsid w:val="00892F19"/>
    <w:rsid w:val="00895B2F"/>
    <w:rsid w:val="00897005"/>
    <w:rsid w:val="008A2544"/>
    <w:rsid w:val="008A2ACE"/>
    <w:rsid w:val="008A2E04"/>
    <w:rsid w:val="008A32EA"/>
    <w:rsid w:val="008A4D05"/>
    <w:rsid w:val="008A59A5"/>
    <w:rsid w:val="008A5D5C"/>
    <w:rsid w:val="008B007E"/>
    <w:rsid w:val="008B2AFD"/>
    <w:rsid w:val="008B2C41"/>
    <w:rsid w:val="008B316D"/>
    <w:rsid w:val="008B3214"/>
    <w:rsid w:val="008B5DDD"/>
    <w:rsid w:val="008B6900"/>
    <w:rsid w:val="008B6C27"/>
    <w:rsid w:val="008C1A67"/>
    <w:rsid w:val="008C7464"/>
    <w:rsid w:val="008C79E2"/>
    <w:rsid w:val="008D0CA3"/>
    <w:rsid w:val="008D2379"/>
    <w:rsid w:val="008D259D"/>
    <w:rsid w:val="008D29DA"/>
    <w:rsid w:val="008D55E4"/>
    <w:rsid w:val="008D5E77"/>
    <w:rsid w:val="008D73F0"/>
    <w:rsid w:val="008E4DF2"/>
    <w:rsid w:val="008E5B68"/>
    <w:rsid w:val="008E6C43"/>
    <w:rsid w:val="008E7C6A"/>
    <w:rsid w:val="008F14B2"/>
    <w:rsid w:val="008F255D"/>
    <w:rsid w:val="008F35E9"/>
    <w:rsid w:val="008F520B"/>
    <w:rsid w:val="008F5DF0"/>
    <w:rsid w:val="00900C2D"/>
    <w:rsid w:val="009024C3"/>
    <w:rsid w:val="009062A4"/>
    <w:rsid w:val="00911B4B"/>
    <w:rsid w:val="009139F1"/>
    <w:rsid w:val="00915F64"/>
    <w:rsid w:val="009205D0"/>
    <w:rsid w:val="00921331"/>
    <w:rsid w:val="00922617"/>
    <w:rsid w:val="00922C61"/>
    <w:rsid w:val="009253F4"/>
    <w:rsid w:val="0092561A"/>
    <w:rsid w:val="00927AB4"/>
    <w:rsid w:val="00930EA4"/>
    <w:rsid w:val="009315BD"/>
    <w:rsid w:val="00931A8A"/>
    <w:rsid w:val="00931F2C"/>
    <w:rsid w:val="009326E9"/>
    <w:rsid w:val="009328F3"/>
    <w:rsid w:val="00934C7D"/>
    <w:rsid w:val="009353FA"/>
    <w:rsid w:val="00936D49"/>
    <w:rsid w:val="009403D7"/>
    <w:rsid w:val="00940938"/>
    <w:rsid w:val="00941876"/>
    <w:rsid w:val="00942D1D"/>
    <w:rsid w:val="009433E4"/>
    <w:rsid w:val="00944D38"/>
    <w:rsid w:val="0094605B"/>
    <w:rsid w:val="00947DE7"/>
    <w:rsid w:val="00953924"/>
    <w:rsid w:val="009544B7"/>
    <w:rsid w:val="0096098E"/>
    <w:rsid w:val="00960B9E"/>
    <w:rsid w:val="0096171A"/>
    <w:rsid w:val="0096275B"/>
    <w:rsid w:val="00963BC7"/>
    <w:rsid w:val="00967958"/>
    <w:rsid w:val="0097106F"/>
    <w:rsid w:val="009713A6"/>
    <w:rsid w:val="00971DBE"/>
    <w:rsid w:val="00971F56"/>
    <w:rsid w:val="00972BC3"/>
    <w:rsid w:val="00972E7E"/>
    <w:rsid w:val="0097674E"/>
    <w:rsid w:val="00980C74"/>
    <w:rsid w:val="00983485"/>
    <w:rsid w:val="00984FD0"/>
    <w:rsid w:val="00985B73"/>
    <w:rsid w:val="00985FA7"/>
    <w:rsid w:val="00986014"/>
    <w:rsid w:val="009865E4"/>
    <w:rsid w:val="00987CC5"/>
    <w:rsid w:val="00990671"/>
    <w:rsid w:val="009910E0"/>
    <w:rsid w:val="00994014"/>
    <w:rsid w:val="00996841"/>
    <w:rsid w:val="00997909"/>
    <w:rsid w:val="009A659E"/>
    <w:rsid w:val="009A7219"/>
    <w:rsid w:val="009A76A4"/>
    <w:rsid w:val="009A7BC1"/>
    <w:rsid w:val="009B0F36"/>
    <w:rsid w:val="009B3448"/>
    <w:rsid w:val="009B4F5C"/>
    <w:rsid w:val="009B4F74"/>
    <w:rsid w:val="009B58F4"/>
    <w:rsid w:val="009B5BF0"/>
    <w:rsid w:val="009C02C5"/>
    <w:rsid w:val="009C0F40"/>
    <w:rsid w:val="009C265B"/>
    <w:rsid w:val="009C4B59"/>
    <w:rsid w:val="009C7978"/>
    <w:rsid w:val="009D1A13"/>
    <w:rsid w:val="009D244B"/>
    <w:rsid w:val="009D27DD"/>
    <w:rsid w:val="009D674E"/>
    <w:rsid w:val="009D6A48"/>
    <w:rsid w:val="009D6E68"/>
    <w:rsid w:val="009E04E2"/>
    <w:rsid w:val="009E13F5"/>
    <w:rsid w:val="009E13FC"/>
    <w:rsid w:val="009E1BE3"/>
    <w:rsid w:val="009E25E5"/>
    <w:rsid w:val="009E2B81"/>
    <w:rsid w:val="009E2D91"/>
    <w:rsid w:val="009E31FA"/>
    <w:rsid w:val="009E5B98"/>
    <w:rsid w:val="009E6EBF"/>
    <w:rsid w:val="009E7897"/>
    <w:rsid w:val="009F04DA"/>
    <w:rsid w:val="009F3196"/>
    <w:rsid w:val="009F358F"/>
    <w:rsid w:val="00A027B2"/>
    <w:rsid w:val="00A027CC"/>
    <w:rsid w:val="00A03030"/>
    <w:rsid w:val="00A03400"/>
    <w:rsid w:val="00A0436C"/>
    <w:rsid w:val="00A04F00"/>
    <w:rsid w:val="00A15755"/>
    <w:rsid w:val="00A169B9"/>
    <w:rsid w:val="00A170EA"/>
    <w:rsid w:val="00A232A9"/>
    <w:rsid w:val="00A2333F"/>
    <w:rsid w:val="00A31023"/>
    <w:rsid w:val="00A32454"/>
    <w:rsid w:val="00A326B0"/>
    <w:rsid w:val="00A3300B"/>
    <w:rsid w:val="00A341E7"/>
    <w:rsid w:val="00A34258"/>
    <w:rsid w:val="00A34663"/>
    <w:rsid w:val="00A34ACB"/>
    <w:rsid w:val="00A34D2C"/>
    <w:rsid w:val="00A371D3"/>
    <w:rsid w:val="00A37527"/>
    <w:rsid w:val="00A41B27"/>
    <w:rsid w:val="00A41F4C"/>
    <w:rsid w:val="00A42948"/>
    <w:rsid w:val="00A42F5C"/>
    <w:rsid w:val="00A43299"/>
    <w:rsid w:val="00A433A9"/>
    <w:rsid w:val="00A438C6"/>
    <w:rsid w:val="00A45041"/>
    <w:rsid w:val="00A45741"/>
    <w:rsid w:val="00A45C44"/>
    <w:rsid w:val="00A4668E"/>
    <w:rsid w:val="00A47298"/>
    <w:rsid w:val="00A47596"/>
    <w:rsid w:val="00A52C48"/>
    <w:rsid w:val="00A56D6B"/>
    <w:rsid w:val="00A56E25"/>
    <w:rsid w:val="00A57922"/>
    <w:rsid w:val="00A67CAC"/>
    <w:rsid w:val="00A67F89"/>
    <w:rsid w:val="00A724E7"/>
    <w:rsid w:val="00A751F8"/>
    <w:rsid w:val="00A81E00"/>
    <w:rsid w:val="00A851A2"/>
    <w:rsid w:val="00A85ECF"/>
    <w:rsid w:val="00A87B96"/>
    <w:rsid w:val="00A904DD"/>
    <w:rsid w:val="00A91028"/>
    <w:rsid w:val="00A9471B"/>
    <w:rsid w:val="00A9496F"/>
    <w:rsid w:val="00A94E7B"/>
    <w:rsid w:val="00A95877"/>
    <w:rsid w:val="00A96821"/>
    <w:rsid w:val="00AA07B7"/>
    <w:rsid w:val="00AA16D6"/>
    <w:rsid w:val="00AA26AD"/>
    <w:rsid w:val="00AA30E2"/>
    <w:rsid w:val="00AA5122"/>
    <w:rsid w:val="00AA58AE"/>
    <w:rsid w:val="00AA6729"/>
    <w:rsid w:val="00AA7ECD"/>
    <w:rsid w:val="00AB4851"/>
    <w:rsid w:val="00AB4AA2"/>
    <w:rsid w:val="00AB51C0"/>
    <w:rsid w:val="00AB7614"/>
    <w:rsid w:val="00AC0697"/>
    <w:rsid w:val="00AC1F21"/>
    <w:rsid w:val="00AC24D5"/>
    <w:rsid w:val="00AC3B62"/>
    <w:rsid w:val="00AC625D"/>
    <w:rsid w:val="00AC6397"/>
    <w:rsid w:val="00AD1615"/>
    <w:rsid w:val="00AD1ABE"/>
    <w:rsid w:val="00AD1F28"/>
    <w:rsid w:val="00AD414E"/>
    <w:rsid w:val="00AE01C5"/>
    <w:rsid w:val="00AE0F7F"/>
    <w:rsid w:val="00AE4EBF"/>
    <w:rsid w:val="00AE6894"/>
    <w:rsid w:val="00AE77B8"/>
    <w:rsid w:val="00AF207C"/>
    <w:rsid w:val="00AF376A"/>
    <w:rsid w:val="00B0093C"/>
    <w:rsid w:val="00B016A2"/>
    <w:rsid w:val="00B024B9"/>
    <w:rsid w:val="00B042EC"/>
    <w:rsid w:val="00B04C3D"/>
    <w:rsid w:val="00B05B3E"/>
    <w:rsid w:val="00B07D4F"/>
    <w:rsid w:val="00B1015C"/>
    <w:rsid w:val="00B10DB6"/>
    <w:rsid w:val="00B1164C"/>
    <w:rsid w:val="00B11BF2"/>
    <w:rsid w:val="00B11C34"/>
    <w:rsid w:val="00B1309A"/>
    <w:rsid w:val="00B13565"/>
    <w:rsid w:val="00B15356"/>
    <w:rsid w:val="00B15437"/>
    <w:rsid w:val="00B15ED0"/>
    <w:rsid w:val="00B16E29"/>
    <w:rsid w:val="00B21D10"/>
    <w:rsid w:val="00B2303B"/>
    <w:rsid w:val="00B23699"/>
    <w:rsid w:val="00B2473B"/>
    <w:rsid w:val="00B260EE"/>
    <w:rsid w:val="00B27D32"/>
    <w:rsid w:val="00B30556"/>
    <w:rsid w:val="00B3088D"/>
    <w:rsid w:val="00B30B2F"/>
    <w:rsid w:val="00B31349"/>
    <w:rsid w:val="00B32074"/>
    <w:rsid w:val="00B32468"/>
    <w:rsid w:val="00B32732"/>
    <w:rsid w:val="00B331C4"/>
    <w:rsid w:val="00B34EC8"/>
    <w:rsid w:val="00B34EF2"/>
    <w:rsid w:val="00B35380"/>
    <w:rsid w:val="00B360CB"/>
    <w:rsid w:val="00B40848"/>
    <w:rsid w:val="00B40B18"/>
    <w:rsid w:val="00B4110E"/>
    <w:rsid w:val="00B413C2"/>
    <w:rsid w:val="00B41B8F"/>
    <w:rsid w:val="00B43313"/>
    <w:rsid w:val="00B43679"/>
    <w:rsid w:val="00B443E9"/>
    <w:rsid w:val="00B45CF5"/>
    <w:rsid w:val="00B46136"/>
    <w:rsid w:val="00B4670D"/>
    <w:rsid w:val="00B5036A"/>
    <w:rsid w:val="00B50DE1"/>
    <w:rsid w:val="00B516A1"/>
    <w:rsid w:val="00B51828"/>
    <w:rsid w:val="00B53AA0"/>
    <w:rsid w:val="00B54E0F"/>
    <w:rsid w:val="00B60323"/>
    <w:rsid w:val="00B67099"/>
    <w:rsid w:val="00B67EC3"/>
    <w:rsid w:val="00B67EE7"/>
    <w:rsid w:val="00B74754"/>
    <w:rsid w:val="00B775B5"/>
    <w:rsid w:val="00B77965"/>
    <w:rsid w:val="00B81B79"/>
    <w:rsid w:val="00B82045"/>
    <w:rsid w:val="00B8533D"/>
    <w:rsid w:val="00B858F4"/>
    <w:rsid w:val="00B917C3"/>
    <w:rsid w:val="00B91F65"/>
    <w:rsid w:val="00B9225E"/>
    <w:rsid w:val="00B927E5"/>
    <w:rsid w:val="00B92987"/>
    <w:rsid w:val="00B9567C"/>
    <w:rsid w:val="00B95F41"/>
    <w:rsid w:val="00BA01D6"/>
    <w:rsid w:val="00BA2E55"/>
    <w:rsid w:val="00BA45EC"/>
    <w:rsid w:val="00BA4F1A"/>
    <w:rsid w:val="00BA6A49"/>
    <w:rsid w:val="00BB027B"/>
    <w:rsid w:val="00BB0ADF"/>
    <w:rsid w:val="00BB5A78"/>
    <w:rsid w:val="00BB65CB"/>
    <w:rsid w:val="00BB6967"/>
    <w:rsid w:val="00BB75E4"/>
    <w:rsid w:val="00BC0BA1"/>
    <w:rsid w:val="00BC1200"/>
    <w:rsid w:val="00BC1C01"/>
    <w:rsid w:val="00BC2DB0"/>
    <w:rsid w:val="00BC4360"/>
    <w:rsid w:val="00BC530E"/>
    <w:rsid w:val="00BC7132"/>
    <w:rsid w:val="00BD142F"/>
    <w:rsid w:val="00BD22BF"/>
    <w:rsid w:val="00BD372C"/>
    <w:rsid w:val="00BD3A66"/>
    <w:rsid w:val="00BD5306"/>
    <w:rsid w:val="00BD541B"/>
    <w:rsid w:val="00BD5A6B"/>
    <w:rsid w:val="00BD6959"/>
    <w:rsid w:val="00BD7BFD"/>
    <w:rsid w:val="00BE14D8"/>
    <w:rsid w:val="00BE1F9B"/>
    <w:rsid w:val="00BE3617"/>
    <w:rsid w:val="00BE712F"/>
    <w:rsid w:val="00BE7E88"/>
    <w:rsid w:val="00BF0B5B"/>
    <w:rsid w:val="00BF2918"/>
    <w:rsid w:val="00BF2965"/>
    <w:rsid w:val="00BF3239"/>
    <w:rsid w:val="00BF454E"/>
    <w:rsid w:val="00BF45A6"/>
    <w:rsid w:val="00BF6CDE"/>
    <w:rsid w:val="00BF779E"/>
    <w:rsid w:val="00BF7F82"/>
    <w:rsid w:val="00C0019D"/>
    <w:rsid w:val="00C004E7"/>
    <w:rsid w:val="00C00F08"/>
    <w:rsid w:val="00C01196"/>
    <w:rsid w:val="00C0257D"/>
    <w:rsid w:val="00C03835"/>
    <w:rsid w:val="00C03C3B"/>
    <w:rsid w:val="00C040F6"/>
    <w:rsid w:val="00C05AB0"/>
    <w:rsid w:val="00C06798"/>
    <w:rsid w:val="00C10C06"/>
    <w:rsid w:val="00C11D86"/>
    <w:rsid w:val="00C14749"/>
    <w:rsid w:val="00C16F4F"/>
    <w:rsid w:val="00C17F37"/>
    <w:rsid w:val="00C2060F"/>
    <w:rsid w:val="00C20CE7"/>
    <w:rsid w:val="00C21A3B"/>
    <w:rsid w:val="00C21C49"/>
    <w:rsid w:val="00C21D0F"/>
    <w:rsid w:val="00C269D2"/>
    <w:rsid w:val="00C333B0"/>
    <w:rsid w:val="00C3362B"/>
    <w:rsid w:val="00C339F6"/>
    <w:rsid w:val="00C33AE1"/>
    <w:rsid w:val="00C345F5"/>
    <w:rsid w:val="00C422F1"/>
    <w:rsid w:val="00C42F47"/>
    <w:rsid w:val="00C45829"/>
    <w:rsid w:val="00C46EF8"/>
    <w:rsid w:val="00C4798E"/>
    <w:rsid w:val="00C500F1"/>
    <w:rsid w:val="00C50865"/>
    <w:rsid w:val="00C51E26"/>
    <w:rsid w:val="00C541A8"/>
    <w:rsid w:val="00C54CEF"/>
    <w:rsid w:val="00C623A8"/>
    <w:rsid w:val="00C6277C"/>
    <w:rsid w:val="00C64472"/>
    <w:rsid w:val="00C65E93"/>
    <w:rsid w:val="00C671F2"/>
    <w:rsid w:val="00C67926"/>
    <w:rsid w:val="00C7062B"/>
    <w:rsid w:val="00C729FD"/>
    <w:rsid w:val="00C774CC"/>
    <w:rsid w:val="00C7772C"/>
    <w:rsid w:val="00C77CA2"/>
    <w:rsid w:val="00C805AF"/>
    <w:rsid w:val="00C826A3"/>
    <w:rsid w:val="00C83768"/>
    <w:rsid w:val="00C83B1F"/>
    <w:rsid w:val="00C83CCC"/>
    <w:rsid w:val="00C84216"/>
    <w:rsid w:val="00C84481"/>
    <w:rsid w:val="00C84E69"/>
    <w:rsid w:val="00C87489"/>
    <w:rsid w:val="00C92660"/>
    <w:rsid w:val="00C9309D"/>
    <w:rsid w:val="00C93C3D"/>
    <w:rsid w:val="00C94D50"/>
    <w:rsid w:val="00C95667"/>
    <w:rsid w:val="00C96B1D"/>
    <w:rsid w:val="00CA1C97"/>
    <w:rsid w:val="00CA226C"/>
    <w:rsid w:val="00CA4A95"/>
    <w:rsid w:val="00CA4E98"/>
    <w:rsid w:val="00CA58C8"/>
    <w:rsid w:val="00CA5C34"/>
    <w:rsid w:val="00CA64AA"/>
    <w:rsid w:val="00CA6B85"/>
    <w:rsid w:val="00CA7359"/>
    <w:rsid w:val="00CB06D2"/>
    <w:rsid w:val="00CB3AAE"/>
    <w:rsid w:val="00CB5219"/>
    <w:rsid w:val="00CB58B8"/>
    <w:rsid w:val="00CB59F4"/>
    <w:rsid w:val="00CB5BAF"/>
    <w:rsid w:val="00CB68D1"/>
    <w:rsid w:val="00CC1537"/>
    <w:rsid w:val="00CC5784"/>
    <w:rsid w:val="00CC586D"/>
    <w:rsid w:val="00CC77CA"/>
    <w:rsid w:val="00CC7D86"/>
    <w:rsid w:val="00CD016D"/>
    <w:rsid w:val="00CD05BE"/>
    <w:rsid w:val="00CD212C"/>
    <w:rsid w:val="00CD40A1"/>
    <w:rsid w:val="00CD5ACC"/>
    <w:rsid w:val="00CD756D"/>
    <w:rsid w:val="00CE14CA"/>
    <w:rsid w:val="00CE1AEC"/>
    <w:rsid w:val="00CE4BBE"/>
    <w:rsid w:val="00CE4CDF"/>
    <w:rsid w:val="00CE5CE0"/>
    <w:rsid w:val="00CE5D9A"/>
    <w:rsid w:val="00CE7367"/>
    <w:rsid w:val="00CE7E6D"/>
    <w:rsid w:val="00CF1D9B"/>
    <w:rsid w:val="00CF1DB1"/>
    <w:rsid w:val="00CF1F29"/>
    <w:rsid w:val="00CF2A62"/>
    <w:rsid w:val="00CF2C8F"/>
    <w:rsid w:val="00CF2D71"/>
    <w:rsid w:val="00CF3D37"/>
    <w:rsid w:val="00CF43C9"/>
    <w:rsid w:val="00CF5827"/>
    <w:rsid w:val="00CF5BE6"/>
    <w:rsid w:val="00CF6025"/>
    <w:rsid w:val="00D01185"/>
    <w:rsid w:val="00D01768"/>
    <w:rsid w:val="00D027C6"/>
    <w:rsid w:val="00D0377E"/>
    <w:rsid w:val="00D04957"/>
    <w:rsid w:val="00D067DB"/>
    <w:rsid w:val="00D07996"/>
    <w:rsid w:val="00D2024F"/>
    <w:rsid w:val="00D21302"/>
    <w:rsid w:val="00D22D54"/>
    <w:rsid w:val="00D22D77"/>
    <w:rsid w:val="00D23A84"/>
    <w:rsid w:val="00D2506D"/>
    <w:rsid w:val="00D27739"/>
    <w:rsid w:val="00D32310"/>
    <w:rsid w:val="00D327FF"/>
    <w:rsid w:val="00D32A12"/>
    <w:rsid w:val="00D33CC6"/>
    <w:rsid w:val="00D34D60"/>
    <w:rsid w:val="00D36B3C"/>
    <w:rsid w:val="00D40411"/>
    <w:rsid w:val="00D41116"/>
    <w:rsid w:val="00D419CA"/>
    <w:rsid w:val="00D429D1"/>
    <w:rsid w:val="00D44473"/>
    <w:rsid w:val="00D46029"/>
    <w:rsid w:val="00D504D7"/>
    <w:rsid w:val="00D51038"/>
    <w:rsid w:val="00D51FCB"/>
    <w:rsid w:val="00D53B5B"/>
    <w:rsid w:val="00D53F56"/>
    <w:rsid w:val="00D55370"/>
    <w:rsid w:val="00D56C9B"/>
    <w:rsid w:val="00D579A3"/>
    <w:rsid w:val="00D623F9"/>
    <w:rsid w:val="00D62A1F"/>
    <w:rsid w:val="00D71647"/>
    <w:rsid w:val="00D762E8"/>
    <w:rsid w:val="00D77FDF"/>
    <w:rsid w:val="00D80856"/>
    <w:rsid w:val="00D82871"/>
    <w:rsid w:val="00D835D0"/>
    <w:rsid w:val="00D83867"/>
    <w:rsid w:val="00D87CD3"/>
    <w:rsid w:val="00D901D8"/>
    <w:rsid w:val="00D91402"/>
    <w:rsid w:val="00D922A3"/>
    <w:rsid w:val="00D93D00"/>
    <w:rsid w:val="00D97A1D"/>
    <w:rsid w:val="00D97B45"/>
    <w:rsid w:val="00D97BD8"/>
    <w:rsid w:val="00DA18FD"/>
    <w:rsid w:val="00DA197B"/>
    <w:rsid w:val="00DA1DA8"/>
    <w:rsid w:val="00DA1DB1"/>
    <w:rsid w:val="00DA29C4"/>
    <w:rsid w:val="00DA5CD4"/>
    <w:rsid w:val="00DA73E7"/>
    <w:rsid w:val="00DB15B0"/>
    <w:rsid w:val="00DB216F"/>
    <w:rsid w:val="00DB3701"/>
    <w:rsid w:val="00DB5394"/>
    <w:rsid w:val="00DC149A"/>
    <w:rsid w:val="00DC2372"/>
    <w:rsid w:val="00DC56E5"/>
    <w:rsid w:val="00DC65DD"/>
    <w:rsid w:val="00DC772A"/>
    <w:rsid w:val="00DD14AC"/>
    <w:rsid w:val="00DD22A6"/>
    <w:rsid w:val="00DD4F0B"/>
    <w:rsid w:val="00DD4F6F"/>
    <w:rsid w:val="00DD5FAC"/>
    <w:rsid w:val="00DD63D5"/>
    <w:rsid w:val="00DD71E5"/>
    <w:rsid w:val="00DD733C"/>
    <w:rsid w:val="00DE1552"/>
    <w:rsid w:val="00DE208D"/>
    <w:rsid w:val="00DE3DA9"/>
    <w:rsid w:val="00DE3DB3"/>
    <w:rsid w:val="00DE5918"/>
    <w:rsid w:val="00E00444"/>
    <w:rsid w:val="00E00929"/>
    <w:rsid w:val="00E00D89"/>
    <w:rsid w:val="00E012CC"/>
    <w:rsid w:val="00E01358"/>
    <w:rsid w:val="00E024F2"/>
    <w:rsid w:val="00E03100"/>
    <w:rsid w:val="00E05B8C"/>
    <w:rsid w:val="00E06F27"/>
    <w:rsid w:val="00E118C5"/>
    <w:rsid w:val="00E12DE0"/>
    <w:rsid w:val="00E14531"/>
    <w:rsid w:val="00E16580"/>
    <w:rsid w:val="00E16A8A"/>
    <w:rsid w:val="00E174D1"/>
    <w:rsid w:val="00E1758C"/>
    <w:rsid w:val="00E1768C"/>
    <w:rsid w:val="00E2044F"/>
    <w:rsid w:val="00E2133E"/>
    <w:rsid w:val="00E2261A"/>
    <w:rsid w:val="00E22E04"/>
    <w:rsid w:val="00E264B4"/>
    <w:rsid w:val="00E30F7B"/>
    <w:rsid w:val="00E32774"/>
    <w:rsid w:val="00E3281A"/>
    <w:rsid w:val="00E337C9"/>
    <w:rsid w:val="00E34031"/>
    <w:rsid w:val="00E374A1"/>
    <w:rsid w:val="00E37DF7"/>
    <w:rsid w:val="00E418E6"/>
    <w:rsid w:val="00E42288"/>
    <w:rsid w:val="00E45C13"/>
    <w:rsid w:val="00E4704B"/>
    <w:rsid w:val="00E52C67"/>
    <w:rsid w:val="00E52DDB"/>
    <w:rsid w:val="00E5542A"/>
    <w:rsid w:val="00E55A08"/>
    <w:rsid w:val="00E55BED"/>
    <w:rsid w:val="00E56BA3"/>
    <w:rsid w:val="00E61924"/>
    <w:rsid w:val="00E62AA1"/>
    <w:rsid w:val="00E65E18"/>
    <w:rsid w:val="00E666FC"/>
    <w:rsid w:val="00E6697E"/>
    <w:rsid w:val="00E66D85"/>
    <w:rsid w:val="00E70DB4"/>
    <w:rsid w:val="00E71245"/>
    <w:rsid w:val="00E73A8B"/>
    <w:rsid w:val="00E80D10"/>
    <w:rsid w:val="00E81421"/>
    <w:rsid w:val="00E81597"/>
    <w:rsid w:val="00E846F9"/>
    <w:rsid w:val="00E86391"/>
    <w:rsid w:val="00E87275"/>
    <w:rsid w:val="00E87A49"/>
    <w:rsid w:val="00E903D1"/>
    <w:rsid w:val="00E90985"/>
    <w:rsid w:val="00E91195"/>
    <w:rsid w:val="00E92AD4"/>
    <w:rsid w:val="00E9370A"/>
    <w:rsid w:val="00E9459D"/>
    <w:rsid w:val="00E94A6B"/>
    <w:rsid w:val="00E96457"/>
    <w:rsid w:val="00E964D3"/>
    <w:rsid w:val="00E96653"/>
    <w:rsid w:val="00EA25CD"/>
    <w:rsid w:val="00EA2FA8"/>
    <w:rsid w:val="00EA4586"/>
    <w:rsid w:val="00EA5178"/>
    <w:rsid w:val="00EA5F6D"/>
    <w:rsid w:val="00EA6F7E"/>
    <w:rsid w:val="00EB0850"/>
    <w:rsid w:val="00EB1553"/>
    <w:rsid w:val="00EB25EB"/>
    <w:rsid w:val="00EB2F54"/>
    <w:rsid w:val="00EB3581"/>
    <w:rsid w:val="00EB37C0"/>
    <w:rsid w:val="00EB4CCC"/>
    <w:rsid w:val="00EB4F3F"/>
    <w:rsid w:val="00EB726A"/>
    <w:rsid w:val="00EC20C6"/>
    <w:rsid w:val="00EC2982"/>
    <w:rsid w:val="00EC3D2B"/>
    <w:rsid w:val="00EC57F4"/>
    <w:rsid w:val="00EC685D"/>
    <w:rsid w:val="00EC6A1C"/>
    <w:rsid w:val="00ED096A"/>
    <w:rsid w:val="00ED0A1E"/>
    <w:rsid w:val="00ED0BC9"/>
    <w:rsid w:val="00ED128D"/>
    <w:rsid w:val="00ED330A"/>
    <w:rsid w:val="00ED3538"/>
    <w:rsid w:val="00ED356E"/>
    <w:rsid w:val="00ED4934"/>
    <w:rsid w:val="00ED629A"/>
    <w:rsid w:val="00ED7977"/>
    <w:rsid w:val="00EE1CC7"/>
    <w:rsid w:val="00EE2AD3"/>
    <w:rsid w:val="00EE2F1B"/>
    <w:rsid w:val="00EE3DC9"/>
    <w:rsid w:val="00EE45AD"/>
    <w:rsid w:val="00EE5206"/>
    <w:rsid w:val="00EF077E"/>
    <w:rsid w:val="00EF0BC3"/>
    <w:rsid w:val="00EF16D8"/>
    <w:rsid w:val="00EF1D6C"/>
    <w:rsid w:val="00EF27A5"/>
    <w:rsid w:val="00EF398E"/>
    <w:rsid w:val="00EF5711"/>
    <w:rsid w:val="00F016DE"/>
    <w:rsid w:val="00F017CE"/>
    <w:rsid w:val="00F01C1D"/>
    <w:rsid w:val="00F0569E"/>
    <w:rsid w:val="00F05EBE"/>
    <w:rsid w:val="00F07EE9"/>
    <w:rsid w:val="00F101EE"/>
    <w:rsid w:val="00F119A1"/>
    <w:rsid w:val="00F11B47"/>
    <w:rsid w:val="00F12B6D"/>
    <w:rsid w:val="00F15A97"/>
    <w:rsid w:val="00F167BE"/>
    <w:rsid w:val="00F176BA"/>
    <w:rsid w:val="00F17A14"/>
    <w:rsid w:val="00F20ADA"/>
    <w:rsid w:val="00F224DC"/>
    <w:rsid w:val="00F23392"/>
    <w:rsid w:val="00F25FB6"/>
    <w:rsid w:val="00F314BE"/>
    <w:rsid w:val="00F36877"/>
    <w:rsid w:val="00F412BF"/>
    <w:rsid w:val="00F4208E"/>
    <w:rsid w:val="00F44ECF"/>
    <w:rsid w:val="00F452CC"/>
    <w:rsid w:val="00F452F3"/>
    <w:rsid w:val="00F47AB1"/>
    <w:rsid w:val="00F5011E"/>
    <w:rsid w:val="00F507C3"/>
    <w:rsid w:val="00F51BC1"/>
    <w:rsid w:val="00F52688"/>
    <w:rsid w:val="00F52F8D"/>
    <w:rsid w:val="00F562E5"/>
    <w:rsid w:val="00F56C94"/>
    <w:rsid w:val="00F605C9"/>
    <w:rsid w:val="00F60D0F"/>
    <w:rsid w:val="00F613C2"/>
    <w:rsid w:val="00F6148A"/>
    <w:rsid w:val="00F61776"/>
    <w:rsid w:val="00F61FDB"/>
    <w:rsid w:val="00F63694"/>
    <w:rsid w:val="00F63EFF"/>
    <w:rsid w:val="00F6428D"/>
    <w:rsid w:val="00F645E3"/>
    <w:rsid w:val="00F65F25"/>
    <w:rsid w:val="00F70014"/>
    <w:rsid w:val="00F711E7"/>
    <w:rsid w:val="00F718CC"/>
    <w:rsid w:val="00F7278D"/>
    <w:rsid w:val="00F72F18"/>
    <w:rsid w:val="00F76EB2"/>
    <w:rsid w:val="00F822D9"/>
    <w:rsid w:val="00F82757"/>
    <w:rsid w:val="00F8378E"/>
    <w:rsid w:val="00F83B58"/>
    <w:rsid w:val="00F8685A"/>
    <w:rsid w:val="00F90E01"/>
    <w:rsid w:val="00F91217"/>
    <w:rsid w:val="00F92678"/>
    <w:rsid w:val="00F92FB5"/>
    <w:rsid w:val="00F955FB"/>
    <w:rsid w:val="00F956DA"/>
    <w:rsid w:val="00F961D1"/>
    <w:rsid w:val="00F97701"/>
    <w:rsid w:val="00FA0E3C"/>
    <w:rsid w:val="00FA2756"/>
    <w:rsid w:val="00FA36BA"/>
    <w:rsid w:val="00FA53CF"/>
    <w:rsid w:val="00FA62B0"/>
    <w:rsid w:val="00FA640B"/>
    <w:rsid w:val="00FA6F84"/>
    <w:rsid w:val="00FA77D5"/>
    <w:rsid w:val="00FB1E88"/>
    <w:rsid w:val="00FB2EF1"/>
    <w:rsid w:val="00FB3235"/>
    <w:rsid w:val="00FB4C8D"/>
    <w:rsid w:val="00FB5B7B"/>
    <w:rsid w:val="00FB68B1"/>
    <w:rsid w:val="00FB6978"/>
    <w:rsid w:val="00FB78C9"/>
    <w:rsid w:val="00FC137C"/>
    <w:rsid w:val="00FC6441"/>
    <w:rsid w:val="00FC71DB"/>
    <w:rsid w:val="00FC75C0"/>
    <w:rsid w:val="00FC78A9"/>
    <w:rsid w:val="00FD08C9"/>
    <w:rsid w:val="00FD16A8"/>
    <w:rsid w:val="00FD1D65"/>
    <w:rsid w:val="00FD2CD2"/>
    <w:rsid w:val="00FD5638"/>
    <w:rsid w:val="00FD5868"/>
    <w:rsid w:val="00FD6671"/>
    <w:rsid w:val="00FD6D2A"/>
    <w:rsid w:val="00FE2F7F"/>
    <w:rsid w:val="00FE337A"/>
    <w:rsid w:val="00FE3605"/>
    <w:rsid w:val="00FE4037"/>
    <w:rsid w:val="00FE4464"/>
    <w:rsid w:val="00FF0CCD"/>
    <w:rsid w:val="00FF29EC"/>
    <w:rsid w:val="00FF6AA9"/>
    <w:rsid w:val="00FF6BE6"/>
    <w:rsid w:val="00FF72EF"/>
    <w:rsid w:val="0491498E"/>
    <w:rsid w:val="0B657E3F"/>
    <w:rsid w:val="0F3576F8"/>
    <w:rsid w:val="1B194B19"/>
    <w:rsid w:val="1C2361BA"/>
    <w:rsid w:val="4298644F"/>
    <w:rsid w:val="463F0ACB"/>
    <w:rsid w:val="4C39659B"/>
    <w:rsid w:val="64BC6136"/>
    <w:rsid w:val="6DE333D5"/>
    <w:rsid w:val="6EF079AB"/>
    <w:rsid w:val="732E3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numPr>
        <w:ilvl w:val="0"/>
        <w:numId w:val="1"/>
      </w:numPr>
      <w:spacing w:before="340" w:after="330" w:line="360" w:lineRule="auto"/>
      <w:outlineLvl w:val="0"/>
    </w:pPr>
    <w:rPr>
      <w:b/>
      <w:bCs/>
      <w:kern w:val="44"/>
      <w:sz w:val="30"/>
      <w:szCs w:val="44"/>
    </w:rPr>
  </w:style>
  <w:style w:type="paragraph" w:styleId="3">
    <w:name w:val="heading 2"/>
    <w:basedOn w:val="1"/>
    <w:next w:val="1"/>
    <w:link w:val="30"/>
    <w:qFormat/>
    <w:uiPriority w:val="9"/>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link w:val="31"/>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37"/>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38"/>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9"/>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40"/>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1"/>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42"/>
    <w:qFormat/>
    <w:uiPriority w:val="0"/>
    <w:pPr>
      <w:keepNext/>
      <w:keepLines/>
      <w:numPr>
        <w:ilvl w:val="8"/>
        <w:numId w:val="1"/>
      </w:numPr>
      <w:spacing w:before="240" w:after="64" w:line="320" w:lineRule="auto"/>
      <w:outlineLvl w:val="8"/>
    </w:pPr>
    <w:rPr>
      <w:rFonts w:ascii="Cambria" w:hAnsi="Cambria"/>
      <w:szCs w:val="21"/>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11">
    <w:name w:val="Document Map"/>
    <w:basedOn w:val="1"/>
    <w:link w:val="36"/>
    <w:unhideWhenUsed/>
    <w:qFormat/>
    <w:uiPriority w:val="99"/>
    <w:rPr>
      <w:rFonts w:ascii="宋体"/>
      <w:sz w:val="18"/>
      <w:szCs w:val="18"/>
    </w:rPr>
  </w:style>
  <w:style w:type="paragraph" w:styleId="12">
    <w:name w:val="annotation text"/>
    <w:basedOn w:val="1"/>
    <w:link w:val="49"/>
    <w:semiHidden/>
    <w:unhideWhenUsed/>
    <w:uiPriority w:val="99"/>
    <w:pPr>
      <w:jc w:val="left"/>
    </w:pPr>
  </w:style>
  <w:style w:type="paragraph" w:styleId="13">
    <w:name w:val="Body Text"/>
    <w:basedOn w:val="1"/>
    <w:link w:val="45"/>
    <w:qFormat/>
    <w:uiPriority w:val="0"/>
    <w:pPr>
      <w:ind w:right="227" w:rightChars="108"/>
    </w:pPr>
    <w:rPr>
      <w:color w:val="000000"/>
    </w:rPr>
  </w:style>
  <w:style w:type="paragraph" w:styleId="14">
    <w:name w:val="Balloon Text"/>
    <w:basedOn w:val="1"/>
    <w:link w:val="33"/>
    <w:unhideWhenUsed/>
    <w:qFormat/>
    <w:uiPriority w:val="99"/>
    <w:rPr>
      <w:sz w:val="18"/>
      <w:szCs w:val="18"/>
    </w:rPr>
  </w:style>
  <w:style w:type="paragraph" w:styleId="15">
    <w:name w:val="footer"/>
    <w:basedOn w:val="1"/>
    <w:link w:val="28"/>
    <w:unhideWhenUsed/>
    <w:qFormat/>
    <w:uiPriority w:val="0"/>
    <w:pPr>
      <w:tabs>
        <w:tab w:val="center" w:pos="4153"/>
        <w:tab w:val="right" w:pos="8306"/>
      </w:tabs>
      <w:snapToGrid w:val="0"/>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footnote text"/>
    <w:basedOn w:val="1"/>
    <w:link w:val="48"/>
    <w:semiHidden/>
    <w:unhideWhenUsed/>
    <w:uiPriority w:val="99"/>
    <w:pPr>
      <w:snapToGrid w:val="0"/>
      <w:jc w:val="left"/>
    </w:pPr>
    <w:rPr>
      <w:sz w:val="18"/>
      <w:szCs w:val="18"/>
    </w:rPr>
  </w:style>
  <w:style w:type="paragraph" w:styleId="18">
    <w:name w:val="HTML Preformatted"/>
    <w:basedOn w:val="1"/>
    <w:link w:val="4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Title"/>
    <w:basedOn w:val="1"/>
    <w:next w:val="1"/>
    <w:link w:val="47"/>
    <w:qFormat/>
    <w:uiPriority w:val="10"/>
    <w:pPr>
      <w:spacing w:before="240" w:after="60"/>
      <w:jc w:val="center"/>
      <w:outlineLvl w:val="0"/>
    </w:pPr>
    <w:rPr>
      <w:rFonts w:ascii="Cambria" w:hAnsi="Cambria"/>
      <w:b/>
      <w:bCs/>
      <w:sz w:val="32"/>
      <w:szCs w:val="32"/>
    </w:rPr>
  </w:style>
  <w:style w:type="paragraph" w:styleId="20">
    <w:name w:val="annotation subject"/>
    <w:basedOn w:val="12"/>
    <w:next w:val="12"/>
    <w:link w:val="50"/>
    <w:semiHidden/>
    <w:unhideWhenUsed/>
    <w:uiPriority w:val="99"/>
    <w:rPr>
      <w:b/>
      <w:bCs/>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page number"/>
    <w:basedOn w:val="23"/>
    <w:qFormat/>
    <w:uiPriority w:val="0"/>
  </w:style>
  <w:style w:type="character" w:styleId="25">
    <w:name w:val="annotation reference"/>
    <w:basedOn w:val="23"/>
    <w:semiHidden/>
    <w:unhideWhenUsed/>
    <w:uiPriority w:val="99"/>
    <w:rPr>
      <w:sz w:val="21"/>
      <w:szCs w:val="21"/>
    </w:rPr>
  </w:style>
  <w:style w:type="character" w:styleId="26">
    <w:name w:val="footnote reference"/>
    <w:basedOn w:val="23"/>
    <w:semiHidden/>
    <w:unhideWhenUsed/>
    <w:uiPriority w:val="99"/>
    <w:rPr>
      <w:vertAlign w:val="superscript"/>
    </w:rPr>
  </w:style>
  <w:style w:type="character" w:customStyle="1" w:styleId="27">
    <w:name w:val="页眉 字符"/>
    <w:basedOn w:val="23"/>
    <w:link w:val="16"/>
    <w:qFormat/>
    <w:uiPriority w:val="99"/>
    <w:rPr>
      <w:sz w:val="18"/>
      <w:szCs w:val="18"/>
    </w:rPr>
  </w:style>
  <w:style w:type="character" w:customStyle="1" w:styleId="28">
    <w:name w:val="页脚 字符"/>
    <w:basedOn w:val="23"/>
    <w:link w:val="15"/>
    <w:qFormat/>
    <w:uiPriority w:val="0"/>
    <w:rPr>
      <w:sz w:val="18"/>
      <w:szCs w:val="18"/>
    </w:rPr>
  </w:style>
  <w:style w:type="character" w:customStyle="1" w:styleId="29">
    <w:name w:val="标题 1 字符"/>
    <w:basedOn w:val="23"/>
    <w:link w:val="2"/>
    <w:qFormat/>
    <w:uiPriority w:val="9"/>
    <w:rPr>
      <w:rFonts w:ascii="Times New Roman" w:hAnsi="Times New Roman"/>
      <w:b/>
      <w:bCs/>
      <w:kern w:val="44"/>
      <w:sz w:val="30"/>
      <w:szCs w:val="44"/>
    </w:rPr>
  </w:style>
  <w:style w:type="character" w:customStyle="1" w:styleId="30">
    <w:name w:val="标题 2 字符"/>
    <w:basedOn w:val="23"/>
    <w:link w:val="3"/>
    <w:qFormat/>
    <w:uiPriority w:val="9"/>
    <w:rPr>
      <w:rFonts w:ascii="Arial" w:hAnsi="Arial" w:eastAsia="黑体"/>
      <w:b/>
      <w:bCs/>
      <w:kern w:val="2"/>
      <w:sz w:val="32"/>
      <w:szCs w:val="32"/>
    </w:rPr>
  </w:style>
  <w:style w:type="character" w:customStyle="1" w:styleId="31">
    <w:name w:val="标题 3 字符"/>
    <w:basedOn w:val="23"/>
    <w:link w:val="4"/>
    <w:qFormat/>
    <w:uiPriority w:val="9"/>
    <w:rPr>
      <w:rFonts w:ascii="Times New Roman" w:hAnsi="Times New Roman"/>
      <w:b/>
      <w:bCs/>
      <w:kern w:val="2"/>
      <w:sz w:val="32"/>
      <w:szCs w:val="32"/>
    </w:rPr>
  </w:style>
  <w:style w:type="paragraph" w:customStyle="1" w:styleId="3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33">
    <w:name w:val="批注框文本 字符"/>
    <w:basedOn w:val="23"/>
    <w:link w:val="14"/>
    <w:semiHidden/>
    <w:qFormat/>
    <w:uiPriority w:val="99"/>
    <w:rPr>
      <w:rFonts w:ascii="Times New Roman" w:hAnsi="Times New Roman" w:eastAsia="宋体" w:cs="Times New Roman"/>
      <w:sz w:val="18"/>
      <w:szCs w:val="18"/>
    </w:rPr>
  </w:style>
  <w:style w:type="paragraph" w:customStyle="1" w:styleId="34">
    <w:name w:val="无间隔1"/>
    <w:link w:val="35"/>
    <w:qFormat/>
    <w:uiPriority w:val="1"/>
    <w:rPr>
      <w:rFonts w:ascii="Calibri" w:hAnsi="Calibri" w:eastAsia="宋体" w:cs="Times New Roman"/>
      <w:sz w:val="22"/>
      <w:szCs w:val="22"/>
      <w:lang w:val="en-US" w:eastAsia="zh-CN" w:bidi="ar-SA"/>
    </w:rPr>
  </w:style>
  <w:style w:type="character" w:customStyle="1" w:styleId="35">
    <w:name w:val="无间隔 Char"/>
    <w:basedOn w:val="23"/>
    <w:link w:val="34"/>
    <w:qFormat/>
    <w:uiPriority w:val="1"/>
    <w:rPr>
      <w:sz w:val="22"/>
      <w:szCs w:val="22"/>
      <w:lang w:val="en-US" w:eastAsia="zh-CN" w:bidi="ar-SA"/>
    </w:rPr>
  </w:style>
  <w:style w:type="character" w:customStyle="1" w:styleId="36">
    <w:name w:val="文档结构图 字符"/>
    <w:basedOn w:val="23"/>
    <w:link w:val="11"/>
    <w:semiHidden/>
    <w:qFormat/>
    <w:uiPriority w:val="99"/>
    <w:rPr>
      <w:rFonts w:ascii="宋体" w:hAnsi="Times New Roman" w:eastAsia="宋体" w:cs="Times New Roman"/>
      <w:sz w:val="18"/>
      <w:szCs w:val="18"/>
    </w:rPr>
  </w:style>
  <w:style w:type="character" w:customStyle="1" w:styleId="37">
    <w:name w:val="标题 4 字符"/>
    <w:basedOn w:val="23"/>
    <w:link w:val="5"/>
    <w:qFormat/>
    <w:uiPriority w:val="0"/>
    <w:rPr>
      <w:rFonts w:ascii="Cambria" w:hAnsi="Cambria"/>
      <w:b/>
      <w:bCs/>
      <w:kern w:val="2"/>
      <w:sz w:val="28"/>
      <w:szCs w:val="28"/>
    </w:rPr>
  </w:style>
  <w:style w:type="character" w:customStyle="1" w:styleId="38">
    <w:name w:val="标题 5 字符"/>
    <w:basedOn w:val="23"/>
    <w:link w:val="6"/>
    <w:qFormat/>
    <w:uiPriority w:val="0"/>
    <w:rPr>
      <w:rFonts w:ascii="Times New Roman" w:hAnsi="Times New Roman"/>
      <w:b/>
      <w:bCs/>
      <w:kern w:val="2"/>
      <w:sz w:val="28"/>
      <w:szCs w:val="28"/>
    </w:rPr>
  </w:style>
  <w:style w:type="character" w:customStyle="1" w:styleId="39">
    <w:name w:val="标题 6 字符"/>
    <w:basedOn w:val="23"/>
    <w:link w:val="7"/>
    <w:qFormat/>
    <w:uiPriority w:val="0"/>
    <w:rPr>
      <w:rFonts w:ascii="Cambria" w:hAnsi="Cambria"/>
      <w:b/>
      <w:bCs/>
      <w:kern w:val="2"/>
      <w:sz w:val="24"/>
      <w:szCs w:val="24"/>
    </w:rPr>
  </w:style>
  <w:style w:type="character" w:customStyle="1" w:styleId="40">
    <w:name w:val="标题 7 字符"/>
    <w:basedOn w:val="23"/>
    <w:link w:val="8"/>
    <w:uiPriority w:val="0"/>
    <w:rPr>
      <w:rFonts w:ascii="Times New Roman" w:hAnsi="Times New Roman"/>
      <w:b/>
      <w:bCs/>
      <w:kern w:val="2"/>
      <w:sz w:val="24"/>
      <w:szCs w:val="24"/>
    </w:rPr>
  </w:style>
  <w:style w:type="character" w:customStyle="1" w:styleId="41">
    <w:name w:val="标题 8 字符"/>
    <w:basedOn w:val="23"/>
    <w:link w:val="9"/>
    <w:qFormat/>
    <w:uiPriority w:val="0"/>
    <w:rPr>
      <w:rFonts w:ascii="Cambria" w:hAnsi="Cambria"/>
      <w:kern w:val="2"/>
      <w:sz w:val="24"/>
      <w:szCs w:val="24"/>
    </w:rPr>
  </w:style>
  <w:style w:type="character" w:customStyle="1" w:styleId="42">
    <w:name w:val="标题 9 字符"/>
    <w:basedOn w:val="23"/>
    <w:link w:val="10"/>
    <w:qFormat/>
    <w:uiPriority w:val="0"/>
    <w:rPr>
      <w:rFonts w:ascii="Cambria" w:hAnsi="Cambria"/>
      <w:kern w:val="2"/>
      <w:sz w:val="21"/>
      <w:szCs w:val="21"/>
    </w:rPr>
  </w:style>
  <w:style w:type="paragraph" w:customStyle="1" w:styleId="43">
    <w:name w:val="列出段落1"/>
    <w:basedOn w:val="1"/>
    <w:qFormat/>
    <w:uiPriority w:val="34"/>
    <w:pPr>
      <w:ind w:firstLine="420" w:firstLineChars="200"/>
    </w:pPr>
  </w:style>
  <w:style w:type="paragraph" w:customStyle="1" w:styleId="44">
    <w:name w:val="正文2"/>
    <w:basedOn w:val="1"/>
    <w:qFormat/>
    <w:uiPriority w:val="0"/>
    <w:pPr>
      <w:spacing w:line="300" w:lineRule="auto"/>
    </w:pPr>
    <w:rPr>
      <w:sz w:val="24"/>
    </w:rPr>
  </w:style>
  <w:style w:type="character" w:customStyle="1" w:styleId="45">
    <w:name w:val="正文文本 字符"/>
    <w:basedOn w:val="23"/>
    <w:link w:val="13"/>
    <w:qFormat/>
    <w:uiPriority w:val="0"/>
    <w:rPr>
      <w:rFonts w:ascii="Times New Roman" w:hAnsi="Times New Roman"/>
      <w:color w:val="000000"/>
      <w:kern w:val="2"/>
      <w:sz w:val="21"/>
      <w:szCs w:val="24"/>
      <w:lang w:val="en-US" w:eastAsia="zh-CN"/>
    </w:rPr>
  </w:style>
  <w:style w:type="character" w:customStyle="1" w:styleId="46">
    <w:name w:val="HTML 预设格式 字符"/>
    <w:basedOn w:val="23"/>
    <w:link w:val="18"/>
    <w:qFormat/>
    <w:uiPriority w:val="99"/>
    <w:rPr>
      <w:rFonts w:ascii="宋体" w:hAnsi="宋体" w:cs="宋体"/>
      <w:sz w:val="24"/>
      <w:szCs w:val="24"/>
    </w:rPr>
  </w:style>
  <w:style w:type="character" w:customStyle="1" w:styleId="47">
    <w:name w:val="标题 字符"/>
    <w:basedOn w:val="23"/>
    <w:link w:val="19"/>
    <w:qFormat/>
    <w:uiPriority w:val="10"/>
    <w:rPr>
      <w:rFonts w:ascii="Cambria" w:hAnsi="Cambria" w:cs="Times New Roman"/>
      <w:b/>
      <w:bCs/>
      <w:kern w:val="2"/>
      <w:sz w:val="32"/>
      <w:szCs w:val="32"/>
    </w:rPr>
  </w:style>
  <w:style w:type="character" w:customStyle="1" w:styleId="48">
    <w:name w:val="脚注文本 字符"/>
    <w:basedOn w:val="23"/>
    <w:link w:val="17"/>
    <w:semiHidden/>
    <w:uiPriority w:val="99"/>
    <w:rPr>
      <w:rFonts w:ascii="Times New Roman" w:hAnsi="Times New Roman"/>
      <w:kern w:val="2"/>
      <w:sz w:val="18"/>
      <w:szCs w:val="18"/>
    </w:rPr>
  </w:style>
  <w:style w:type="character" w:customStyle="1" w:styleId="49">
    <w:name w:val="批注文字 字符"/>
    <w:basedOn w:val="23"/>
    <w:link w:val="12"/>
    <w:semiHidden/>
    <w:uiPriority w:val="99"/>
    <w:rPr>
      <w:rFonts w:ascii="Times New Roman" w:hAnsi="Times New Roman"/>
      <w:kern w:val="2"/>
      <w:sz w:val="21"/>
      <w:szCs w:val="24"/>
    </w:rPr>
  </w:style>
  <w:style w:type="character" w:customStyle="1" w:styleId="50">
    <w:name w:val="批注主题 字符"/>
    <w:basedOn w:val="49"/>
    <w:link w:val="20"/>
    <w:semiHidden/>
    <w:uiPriority w:val="99"/>
    <w:rPr>
      <w:rFonts w:ascii="Times New Roman" w:hAnsi="Times New Roman"/>
      <w:b/>
      <w:bCs/>
      <w:kern w:val="2"/>
      <w:sz w:val="21"/>
      <w:szCs w:val="24"/>
    </w:rPr>
  </w:style>
  <w:style w:type="paragraph" w:customStyle="1" w:styleId="51">
    <w:name w:val="Char Char Char Char"/>
    <w:basedOn w:val="1"/>
    <w:uiPriority w:val="0"/>
    <w:pPr>
      <w:widowControl/>
      <w:spacing w:line="360" w:lineRule="auto"/>
      <w:jc w:val="left"/>
    </w:pPr>
    <w:rPr>
      <w:rFonts w:ascii="Arial" w:hAnsi="Arial"/>
      <w:kern w:val="0"/>
      <w:sz w:val="20"/>
      <w:lang w:val="de-DE" w:eastAsia="de-DE"/>
    </w:rPr>
  </w:style>
  <w:style w:type="paragraph" w:styleId="5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59F6F4-16B3-4C1E-AF0B-8558D42BA5D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1216</Words>
  <Characters>1363</Characters>
  <Lines>123</Lines>
  <Paragraphs>117</Paragraphs>
  <TotalTime>325</TotalTime>
  <ScaleCrop>false</ScaleCrop>
  <LinksUpToDate>false</LinksUpToDate>
  <CharactersWithSpaces>2462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2015-10-22T07:21:00Z</dcterms:created>
  <dc:creator>w02303</dc:creator>
  <cp:lastModifiedBy>亦迩</cp:lastModifiedBy>
  <cp:lastPrinted>2018-09-18T11:44:00Z</cp:lastPrinted>
  <dcterms:modified xsi:type="dcterms:W3CDTF">2021-11-25T06:43:44Z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093FFE7307A443C5860329FFBA1C0633</vt:lpwstr>
  </property>
</Properties>
</file>